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من يملك نفسه عند الغضب ،وبأي شيء يذهب الغضب-كتاب البرّ والصلة والآداب-صحيح مسلم — رقم الحديث: 2608 — الرقم الفرعي: 1 — الرقم الأصلي: 2608</w:t>
        <w:br/>
      </w:r>
      <w:r>
        <w:rPr>
          <w:rtl w:val="1"/>
        </w:rPr>
        <w:t xml:space="preserve"> حدثنا قتيبة بن سعيد و عثمان بن أبي شيبة ملاحظة واللفظ لقتيبة قالا:حدثنا جَرير عن الأعمش عن إبراهيم التيميّ عن الحارث بن سُوَيْد عن عبد الله بن مسعود</w:t>
        <w:br/>
      </w:r>
      <w:r>
        <w:rPr>
          <w:color w:val="000000"/>
          <w:rtl w:val="1"/>
        </w:rPr>
        <w:t xml:space="preserve">قال: قالَ رسولُ الله ﷺ: </w:t>
      </w:r>
      <w:r>
        <w:rPr>
          <w:color w:val="000000"/>
          <w:rtl w:val="1"/>
        </w:rPr>
        <w:t xml:space="preserve"> «ما تَعُدُّونَ الرَّقُوبَ فيكم؟» قال: قلنا: الذي لا يُولَد له،  </w:t>
      </w:r>
      <w:r>
        <w:rPr>
          <w:color w:val="000000"/>
          <w:rtl w:val="1"/>
        </w:rPr>
        <w:t xml:space="preserve">قال: «ليسَ ذاكَ بالرَّقوب، ولكنَّه الرَّجُل الذي لم يُقدِّم مِن ولَدِه شيئًا»،  </w:t>
      </w:r>
      <w:r>
        <w:rPr>
          <w:color w:val="FF0000"/>
          <w:rtl w:val="1"/>
        </w:rPr>
        <w:t xml:space="preserve">قال: «فما تَعُدُّونَ الصُّرَعةَ فيكم؟» قال: قلنا: الذي لا يَصرَعُه الرِّجال،  </w:t>
      </w:r>
      <w:r>
        <w:rPr>
          <w:color w:val="FF0000"/>
          <w:rtl w:val="1"/>
        </w:rPr>
        <w:t xml:space="preserve">قال: «ليس بذلكَ، ولكنّه الذي يَملِكُ نفْسَه عند الغَضَب».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ضبط العواطف - قيم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