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تفريع أبواب شهر رمضان - باب في قيام شهر رمضان-كتاب الصلاة-سنن أبي داود — رقم الحديث: 1373 — الرقم الفرعي: 99 — الرقم الأصلي: 1373</w:t>
        <w:br/>
      </w:r>
      <w:r>
        <w:rPr>
          <w:rtl w:val="1"/>
        </w:rPr>
        <w:t xml:space="preserve"> حدثنا القعنبيّ عن مالك بن أنس عن ابن شهاب عن عروة بن الزبير عن عائشة زوج النبيّ صلى الله عليه وسلم</w:t>
        <w:br/>
      </w:r>
      <w:r>
        <w:rPr>
          <w:color w:val="FF0000"/>
          <w:rtl w:val="1"/>
        </w:rPr>
        <w:t xml:space="preserve">أنّ النّبيَّ ﷺ صلَّى في المَسجدِ، فصلَّى بصَلاتِه ناسٌ، ثم صَلَّى من القابلَةِ فكَثُر الناسُ،  </w:t>
      </w:r>
      <w:r>
        <w:rPr>
          <w:color w:val="FF0000"/>
          <w:rtl w:val="1"/>
        </w:rPr>
        <w:t xml:space="preserve">ثم اجتَمَعوا من اللَّيلةِ الثالثة، فلم يَخرُج إليهم رَسولُ الله ﷺ،  </w:t>
      </w:r>
      <w:r>
        <w:rPr>
          <w:color w:val="000000"/>
          <w:rtl w:val="1"/>
        </w:rPr>
        <w:t xml:space="preserve">فلمَّا أَصبَحَ قال: «قد رَأيتُ الذي صنعْتُم، فلم يَمنَعني من الخُروجِ إليكُم إلّا أَني خَشِيتُ أن تُفرَضَ عليكم»  </w:t>
      </w:r>
      <w:r>
        <w:rPr>
          <w:color w:val="FF0000"/>
          <w:rtl w:val="1"/>
        </w:rPr>
        <w:t xml:space="preserve">وذلك في رمضان.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مكان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كيفية صلاة التراويح - قيام رمضان وصلاة التراويح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