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يهودي بالتكبير حين يسجد-كتاب الصلاة-صحيح البخاري — رقم الحديث: 804 — الرقم الفرعي: 99 — الرقم الأصلي: 804</w:t>
        <w:br/>
      </w:r>
      <w:r>
        <w:rPr>
          <w:rtl w:val="1"/>
        </w:rPr>
        <w:t xml:space="preserve"> قالا:وقال أبو هريرة رضي الله عنه</w:t>
        <w:br/>
      </w:r>
      <w:r>
        <w:rPr>
          <w:color w:val="FF0000"/>
          <w:rtl w:val="1"/>
        </w:rPr>
        <w:t xml:space="preserve">وكان رسولُ الله ﷺ حينَ يرفعُ رأسَه يقولُ: «سَمِعَ اللهُ لمن حَمِدَه، رَبَّنا ولكَ الحمدُ» </w:t>
      </w:r>
      <w:r>
        <w:rPr>
          <w:color w:val="FF0000"/>
          <w:rtl w:val="1"/>
        </w:rPr>
        <w:t xml:space="preserve">يَدْعُو لرجالٍ فيُسمِّيهم بأسمائهم فيقولُ: </w:t>
      </w:r>
      <w:r>
        <w:rPr>
          <w:color w:val="FF0000"/>
          <w:rtl w:val="1"/>
        </w:rPr>
        <w:t xml:space="preserve">«اللهمَّ أنْجِ الوليدَ بنَ الوليدِ، وسَلَمةَ بنَ هشامٍ، وعَيّاشَ بنَ أبي رَبِيعةَ، والمستَضعَفِينَ منَ المؤمنينَ، </w:t>
      </w:r>
      <w:r>
        <w:rPr>
          <w:color w:val="FF0000"/>
          <w:rtl w:val="1"/>
        </w:rPr>
        <w:t xml:space="preserve">اللهمَّ اشدُدْ وَطْأتَكَ على مُضَرَ، واجعَلْها عليهم سنينَ كسِنِي يوسُفَ»، </w:t>
      </w:r>
      <w:r>
        <w:rPr>
          <w:color w:val="000000"/>
          <w:rtl w:val="1"/>
        </w:rPr>
        <w:t xml:space="preserve">وأهلُ المشرِقِ يومَئذٍ من مُضَرَ مُخالِفونَ له. </w:t>
      </w:r>
    </w:p>
    <w:p>
      <w:pPr>
        <w:bidi w:val="1"/>
        <w:jc w:val="start"/>
      </w:pPr>
      <w:r>
        <w:rPr>
          <w:rtl w:val="1"/>
        </w:rPr>
        <w:t>الشرح: الدلالة: موضع القنوت - القنوت</w:t>
      </w:r>
    </w:p>
    <w:p>
      <w:pPr>
        <w:bidi w:val="1"/>
        <w:jc w:val="start"/>
      </w:pPr>
      <w:r>
        <w:rPr>
          <w:rtl w:val="1"/>
        </w:rPr>
        <w:t>الشرح: الدلالة: أدعية القنوت - القنوت</w:t>
      </w:r>
    </w:p>
    <w:p>
      <w:pPr>
        <w:bidi w:val="1"/>
        <w:jc w:val="start"/>
      </w:pPr>
      <w:r>
        <w:rPr>
          <w:rtl w:val="1"/>
        </w:rPr>
        <w:t>الشرح: الدلالة: النهوض من الركوع ورفع اليدين والتكبير والطمأنينة فيه والذكر - الركوع</w:t>
      </w:r>
    </w:p>
    <w:p>
      <w:pPr>
        <w:bidi w:val="1"/>
        <w:jc w:val="start"/>
      </w:pPr>
      <w:r>
        <w:rPr>
          <w:rtl w:val="1"/>
        </w:rPr>
        <w:t xml:space="preserve">الشرح: الدلالة: دعاؤه ﷺ على من بالغ في إيذاء المسلمين - أذكار النبي ﷺ وأدعيته </w:t>
      </w:r>
    </w:p>
    <w:p>
      <w:pPr>
        <w:bidi w:val="1"/>
        <w:jc w:val="start"/>
      </w:pPr>
      <w:r>
        <w:rPr>
          <w:rtl w:val="1"/>
        </w:rPr>
        <w:t xml:space="preserve">الشرح: الدلالة: دعاؤه ﷺ لهم بالنجاة من الأعداء - دعاء النبي ﷺ لأصحابه خصوصًا ولأمته عمومًا </w:t>
      </w:r>
    </w:p>
    <w:p>
      <w:pPr>
        <w:bidi w:val="1"/>
        <w:jc w:val="start"/>
      </w:pPr>
      <w:r>
        <w:rPr>
          <w:rtl w:val="1"/>
        </w:rPr>
        <w:t>الشرح: الدلالة: القنوت في الصلاة - أذكار الصلاة وأدعيتها</w:t>
      </w:r>
    </w:p>
    <w:p>
      <w:pPr>
        <w:bidi w:val="1"/>
        <w:jc w:val="start"/>
      </w:pPr>
      <w:r>
        <w:rPr>
          <w:rtl w:val="1"/>
        </w:rPr>
        <w:t>الشرح: الدلالة: الأذكار والأدعية على الظالمين - الأذكار والدعية للأحوال العارضة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