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أراد أهل المدينة بسوء ،أذابه الله-كتاب الحجّ-صحيح مسلم — رقم الحديث: 1387 — الرقم الفرعي: 1 — الرقم الأصلي: 1387</w:t>
        <w:br/>
      </w:r>
      <w:r>
        <w:rPr>
          <w:rtl w:val="1"/>
        </w:rPr>
        <w:t xml:space="preserve"> حدثنا قتيبة بن سعيد حدثنا حاتم ملاحظة يعني ابن إسماعيل عن عمر بن نُبَيْه أخبرني دينار القرّاظ قال:سمعت سعد بن أبي وقاص يقول:قال رسول الله صلى الله عليه وسلم</w:t>
        <w:br/>
      </w:r>
      <w:r>
        <w:rPr>
          <w:color w:val="FF0000"/>
          <w:rtl w:val="1"/>
        </w:rPr>
        <w:t xml:space="preserve">«مَن أَرادَ أَهلَ المدينةِ بسُوءٍ، أَذابَه اللهُ كما يَذوبُ المِلحُ في الماء». 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المبحث الرابع: الفتن وأشراط الساعة الصغرى المتعلقة بمكة والمدينة وجزيرة العرب واليمن - الـفـتـن المتعلقة بالقتال والملاحم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