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1103 — الرقم الفرعي: 99 — الرقم الأصلي: 1103 — ج: 1 — ص: 132</w:t>
        <w:br/>
      </w:r>
      <w:r>
        <w:rPr>
          <w:rtl w:val="1"/>
        </w:rPr>
        <w:t xml:space="preserve"> حدثنا عبد الله حدثني أبو بكر بن أبي شيبة حدثنا أبو بكر بن عيّاش عن أبي إسحاق عن هُبَيْرَة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دَخلَ العَشرُ، أَيقَظَ أَهلَه ورَفَعَ المِئْزَرَ.  </w:t>
      </w:r>
      <w:r>
        <w:rPr>
          <w:color w:val="000000"/>
          <w:rtl w:val="1"/>
        </w:rPr>
        <w:t xml:space="preserve">قيل لأَبي بكرِ: ما رَفعَ المِئْزَرَ؟ قال: اعتَزَلَ النِّساءَ.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همته ﷺ في اعتكاف العشر الأواخر من رمضان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رمضان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