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يُدخِل الجنب يده في الإناء قبل أن يغسلها-كتاب الوضوء-صحيح البخاري — رقم الحديث: 263 — الرقم الفرعي: 99 — الرقم الأصلي: 263</w:t>
        <w:br/>
      </w:r>
      <w:r>
        <w:rPr>
          <w:rtl w:val="1"/>
        </w:rPr>
        <w:t xml:space="preserve"> حدثنا أبو الوليد قال:حدثنا شعبة عن أبي بكر بن حفص عن عروة عن عائشة</w:t>
        <w:br/>
      </w:r>
      <w:r>
        <w:rPr>
          <w:color w:val="FF0000"/>
          <w:rtl w:val="1"/>
        </w:rPr>
        <w:t xml:space="preserve">قالت: كنتُ أغْتَسِلُ أنا والنبيُّ ﷺ مِن إناءٍ واحدٍ مِن جَنابة. </w:t>
      </w:r>
      <w:r>
        <w:rPr>
          <w:color w:val="000000"/>
          <w:rtl w:val="1"/>
        </w:rPr>
        <w:t xml:space="preserve">وعن عبدِ الرَّحمن بنِ القاسمِ، عن أبيه، عن عائشةَ ... مِثلَه.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