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غسل الحائض رأس زوجها،وترجيله،وطهارة سؤرها ،والاتكاء في حجرها-كتاب الحيض-صحيح مسلم — رقم الحديث: 297 — الرقم الفرعي: 1 — الرقم الأصلي: 297</w:t>
        <w:br/>
      </w:r>
      <w:r>
        <w:rPr>
          <w:rtl w:val="1"/>
        </w:rPr>
        <w:t xml:space="preserve"> حدثنا يحيى بن يحيى قال:قرأت على مالك عن ابن شهاب عن عروة عن عمرة عن عائشة</w:t>
        <w:br/>
      </w:r>
      <w:r>
        <w:rPr>
          <w:color w:val="FF0000"/>
          <w:rtl w:val="1"/>
        </w:rPr>
        <w:t xml:space="preserve">قالت: «كان النَّبِيُّ ﷺ، إِذا اعتَكَفَ، يُدنِي إِلَيَّ رَأسَه فأُرَجِّلُه، وكان لا يَدْخُلُ البَيتَ إِلَّا لِحَاجَةِ الإِنسَانِ».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منهيات الاعتكاف - الاعتكاف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