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لعنه النبيّ أو سبّه أو دعا عليه-كتاب البرّ والصلة والآداب-صحيح مسلم — رقم الحديث: 2604 — الرقم الفرعي: 1 — الرقم الأصلي: 2604</w:t>
        <w:br/>
      </w:r>
      <w:r>
        <w:rPr>
          <w:rtl w:val="1"/>
        </w:rPr>
        <w:t xml:space="preserve"> حدثنا محمد بن المثنى العَنَزيّ ح وحدثنا ابن بشار ملاحظة واللفظ لابن المثنى قالا:حدثنا أميّة بن خالد حدثنا شعبة عن أبي حمزة القصّاب عن ابن عباس</w:t>
        <w:br/>
      </w:r>
      <w:r>
        <w:rPr>
          <w:color w:val="000000"/>
          <w:rtl w:val="1"/>
        </w:rPr>
        <w:t xml:space="preserve">قال: كُنتُ أَلعَبُ مع الصِّبيانِ، فجاءَ رَسولُ اللهِ ﷺ فتَوارَيتُ خَلفَ بابٍ،  </w:t>
      </w:r>
      <w:r>
        <w:rPr>
          <w:color w:val="000000"/>
          <w:rtl w:val="1"/>
        </w:rPr>
        <w:t xml:space="preserve">قال فجاءَ فحَطَأَني حَطْأَةً،  </w:t>
      </w:r>
      <w:r>
        <w:rPr>
          <w:color w:val="FF0000"/>
          <w:rtl w:val="1"/>
        </w:rPr>
        <w:t xml:space="preserve">وقال: «اذهَبْ وادعُ لِي مُعاوِيةَ» قال: فجِئتُ فقُلتُ: هو يَأكُلُ، قال: ثُمَّ قال لِي: «اذهَب فادعُ لِي مُعاوِيَةَ» قال: فجِئتُ فقُلتُ: هو يَأكُلُ،  </w:t>
      </w:r>
      <w:r>
        <w:rPr>
          <w:color w:val="FF0000"/>
          <w:rtl w:val="1"/>
        </w:rPr>
        <w:t xml:space="preserve">فقال: «لا أَشبَعَ اللهُ بَطنَه»  </w:t>
      </w:r>
      <w:r>
        <w:rPr>
          <w:color w:val="000000"/>
          <w:rtl w:val="1"/>
        </w:rPr>
        <w:t xml:space="preserve">قال ابنُ المُثَنَّى: قلتُ لِأُمَيَّةَ: ما حَطَأَني؟ قال: قَفَدَنِي قَفْدَةً.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إذا لعن أو سب أحدًا وهو غضبان ﷺ فهو له رحمة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