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ترك القراءة خلف الإمام إذا جهر الإمام بالقراءة-أبواب الصلاة-سنن الترمذي — رقم الحديث: 312 — الرقم الفرعي: 99 — الرقم الأصلي: 312</w:t>
        <w:br/>
      </w:r>
      <w:r>
        <w:rPr>
          <w:rtl w:val="1"/>
        </w:rPr>
        <w:t xml:space="preserve"> حدثنا الأنصاريّ حدثنا معن حدثنا مالك بن أنس عن ابن شهاب عن ابن أُكيمة الليثيّ عن أبي هريرة</w:t>
        <w:br/>
      </w:r>
      <w:r>
        <w:rPr>
          <w:color w:val="000000"/>
          <w:rtl w:val="1"/>
        </w:rPr>
        <w:t xml:space="preserve">أنَّ رَسولَ الله ﷺ انصَرَفَ مِن صلاةٍ جَهَرَ فيها بالقِراءة،  </w:t>
      </w:r>
      <w:r>
        <w:rPr>
          <w:color w:val="FF0000"/>
          <w:rtl w:val="1"/>
        </w:rPr>
        <w:t xml:space="preserve">فقال: «هلَ قرَأَ مَعي أَحدٌ مِنكُم آنفًا؟» فقال رَجل: نَعم يا رَسولَ الله، قال: «إنِّي أَقولُ ما لي أُنازَع القُرآن؟»  </w:t>
      </w:r>
      <w:r>
        <w:rPr>
          <w:color w:val="FF0000"/>
          <w:rtl w:val="1"/>
        </w:rPr>
        <w:t xml:space="preserve">قال: فانتَهى النّاسُ عن القِراءةِ مع رَسولِ الله ﷺ، فيما يَجهَرُ فيه رسولُ الله ﷺ من الصَّلَوات بالقِراءةِ حين سَمِعوا ذلك مِن رَسولِ الله ﷺ. </w:t>
      </w:r>
      <w:r>
        <w:rPr>
          <w:color w:val="000000"/>
          <w:rtl w:val="1"/>
        </w:rPr>
        <w:t xml:space="preserve">وفي البابِ عن ابنِ مَسعودٍ، وعِمرانَ بن حُصَين، وجابرِ بنِ عبد الله. </w:t>
      </w:r>
      <w:r>
        <w:rPr>
          <w:color w:val="000000"/>
          <w:rtl w:val="1"/>
        </w:rPr>
        <w:t xml:space="preserve">هذا حديثٌ حسن. </w:t>
      </w:r>
      <w:r>
        <w:rPr>
          <w:color w:val="000000"/>
          <w:rtl w:val="1"/>
        </w:rPr>
        <w:t xml:space="preserve">وابنُ أُكيمَة اللَّيثي؛ اسمُه عُمارة، ويقال: عَمرُو بن أُكيمَة. </w:t>
      </w:r>
      <w:r>
        <w:rPr>
          <w:color w:val="000000"/>
          <w:rtl w:val="1"/>
        </w:rPr>
        <w:t xml:space="preserve">ورَوى بعضُ أَصحاب الزُّهريِّ هذا الحديث، وذَكروا هذا الحرفَ: قال: قالَ الزُّهريُّ: فانتَهى الناسُ عن القِراءة حين سَمِعوا ذلك مِن رَسولِ الله ﷺ.  </w:t>
      </w:r>
      <w:r>
        <w:rPr>
          <w:color w:val="000000"/>
          <w:rtl w:val="1"/>
        </w:rPr>
        <w:t xml:space="preserve">وليس في هذا الحديثِ ما يَدخُل على مَن رأى القِراءةِ خلفَ الإمام، لأنّ أبا هُريرةَ هو الذي رَوى عن النّبيِّ ﷺ هذا الحديث، ورَوى أبو هُريرةَ، عن النّبيِّ ﷺ أنه قال: «مَن صلَّى صَلاةً لم يَقرَأْ فيها بأُمِّ القُرآنِ، فهي خِداجٌ، فهي خِداجٌ، غيرُ تَمام»، فقال له حامِلُ الحديث: إنِّي أكونُ أَحيانًا وراءَ الإمام، قال: اقرَأْ بها في نَفْسِك. </w:t>
      </w:r>
      <w:r>
        <w:rPr>
          <w:color w:val="000000"/>
          <w:rtl w:val="1"/>
        </w:rPr>
        <w:t xml:space="preserve">ورَوى أَبو عثمانَ النَّهديُّ، عن أبي هُريرةَ قال: أَمَرني النّبيُّ ﷺ أن أُنادِي أن لا صلاةَ إلا بِقراءَةِ فاتحةِ الكِتاب. </w:t>
      </w:r>
      <w:r>
        <w:rPr>
          <w:color w:val="000000"/>
          <w:rtl w:val="1"/>
        </w:rPr>
        <w:t xml:space="preserve">واختارَ أَكثرُ أَصحابِ الحديث أن لا يَقرَأَ إذا جَهَرَ الإمامُ بالقِراءة، وقالوا: يَتتبَّع سَكَتات الإمام. </w:t>
      </w:r>
      <w:r>
        <w:rPr>
          <w:color w:val="000000"/>
          <w:rtl w:val="1"/>
        </w:rPr>
        <w:t xml:space="preserve">وقد اختَلف أَهلُ العِلم في القِراءةِ خلفَ الإمام: </w:t>
      </w:r>
      <w:r>
        <w:rPr>
          <w:color w:val="000000"/>
          <w:rtl w:val="1"/>
        </w:rPr>
        <w:t xml:space="preserve">فرَأى أَكثرُ أَهلِ العِلم مِن أصحاب النّبيِّ ﷺ، والتّابعينَ، ومَن بعدَهم: القِراءةَ خلفَ الإمام، وبه يقولُ مالكٌ، وابنُ المُبارك، والشَّافعيُّ، وأحمدُ، وإسحاق. </w:t>
      </w:r>
      <w:r>
        <w:rPr>
          <w:color w:val="000000"/>
          <w:rtl w:val="1"/>
        </w:rPr>
        <w:t xml:space="preserve">ورُوي عن عبدِ اللهِ بنِ المُبارَك أنه قال: أنا أَقرأُ خلفَ الإمام، والنّاسُ يَقرَؤون، إلّا قومًا من الكُوفيِّين، وأَرى أنَّ مَن لم يَقرَأْ صلاتُهُ جائزة. </w:t>
      </w:r>
      <w:r>
        <w:rPr>
          <w:color w:val="000000"/>
          <w:rtl w:val="1"/>
        </w:rPr>
        <w:t xml:space="preserve">وشَدَّد قومٌ من أهل العِلم في تَركِ قراءةِ فاتحةِ الكتاب، وإن كان خَلْفَ الإمام، فقالوا: لا تُجزِئُ صلاةٌ إلا بقِراءةِ فاتحةِ الكتابِ، وحدَه كانَ أو خلْفَ الإمام. وذَهبوا إلى ما رَوى عُبادةُ بن الصَّامت، عن النّبيِّ ﷺ. </w:t>
      </w:r>
      <w:r>
        <w:rPr>
          <w:color w:val="000000"/>
          <w:rtl w:val="1"/>
        </w:rPr>
        <w:t xml:space="preserve">وقرأ عُبادةُ بن الصَّامت بعدَ النّبيِّ ﷺ خلْفَ الإمام، وتأوَّلَ قولَ النّبيِّ ﷺ: «لا صلاةَ إلَّا بقِراءةِ فاتحةِ الكِتاب». </w:t>
      </w:r>
      <w:r>
        <w:rPr>
          <w:color w:val="000000"/>
          <w:rtl w:val="1"/>
        </w:rPr>
        <w:t xml:space="preserve">وبه يقولُ الشَّافعيُّ، وإسحاقُ، وغيرًهما. </w:t>
      </w:r>
      <w:r>
        <w:rPr>
          <w:color w:val="000000"/>
          <w:rtl w:val="1"/>
        </w:rPr>
        <w:t xml:space="preserve">وأما أحمد بنُ حنبل فقال: معنى قولِ النّبيِّ ﷺ: «لا صلاةَ لِمَن لم يَقرَأْ بفاتحةِ الكِتاب»: إذا كان وَحدَه. </w:t>
      </w:r>
      <w:r>
        <w:rPr>
          <w:color w:val="000000"/>
          <w:rtl w:val="1"/>
        </w:rPr>
        <w:t xml:space="preserve">واحتَجَّ بحديثِ جابرِ بن عبدِ الله حيث قال: مَن صَلَّى رَكعةً لم يَقرَأْ فيها بأُمِّ القَرآن، فلم يُصَلِّ إلّا أن يَكونَ وَراءَ الإمام. </w:t>
      </w:r>
      <w:r>
        <w:rPr>
          <w:color w:val="000000"/>
          <w:rtl w:val="1"/>
        </w:rPr>
        <w:t xml:space="preserve">قال أَحمدُ: فهذا رجلٌ مِن أَصحابِ النّبيِّ ﷺ تأوَّلَ قولَ النّبيِّ ﷺ: «لا صلاةَ لِمَن لم يَقرَأْ بفاتحةِ الكِتاب» أنَّ هذا إذا كانَ وحدَه.  </w:t>
      </w:r>
      <w:r>
        <w:rPr>
          <w:color w:val="000000"/>
          <w:rtl w:val="1"/>
        </w:rPr>
        <w:t xml:space="preserve">واختارَ أَحمدُ مع هذا القِراءةَ خلْفَ الإمام، وأنْ لا يَتركَ الرَّجلُ فاتحةَ الكِتاب وإن كانَ خلْفَ الإمام.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قراءة المأموم وإنصاته - متابعة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