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ترك العصر-كتاب الصلاة-صحيح البخاري — رقم الحديث: 553 — الرقم الفرعي: 99 — الرقم الأصلي: 553</w:t>
        <w:br/>
      </w:r>
      <w:r>
        <w:rPr>
          <w:rtl w:val="1"/>
        </w:rPr>
        <w:t xml:space="preserve"> حدثنا مسلم بن إبراهيم قال:حدثنا هشام قال:حدثنا يحيى بن أبي كثير عن أبي قلابة عن أبي المليح</w:t>
        <w:br/>
      </w:r>
      <w:r>
        <w:rPr>
          <w:color w:val="FF0000"/>
          <w:rtl w:val="1"/>
        </w:rPr>
        <w:t xml:space="preserve">قال: كنَّا مع بُرَيدةَ في غَزْوةٍ في يومٍ ذي غَيمٍ فقال: بَكِّرُوا بصلاةِ العصر، </w:t>
      </w:r>
      <w:r>
        <w:rPr>
          <w:color w:val="FF0000"/>
          <w:rtl w:val="1"/>
        </w:rPr>
        <w:t xml:space="preserve">فإنَّ النبيَّ ﷺ قال: «مَن تَرَكَ صلاةَ العصرِ فقد حَبِطَ عَمَلُه».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التحذير من ترك صلاة العصر - صلاة العصر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