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1851 — الرقم الفرعي: 99 — الرقم الأصلي: 1300 — ج: 2 — ص: 160</w:t>
        <w:br/>
      </w:r>
      <w:r>
        <w:rPr>
          <w:rtl w:val="1"/>
        </w:rPr>
        <w:t xml:space="preserve"> وحدثني عن مالك أنه بلغه عن القاسم بن محمد أنه قال:قال عمر بن الخطاب</w:t>
        <w:br/>
      </w:r>
      <w:r>
        <w:rPr>
          <w:color w:val="FF0000"/>
          <w:rtl w:val="1"/>
        </w:rPr>
        <w:t xml:space="preserve">الدِّينارُ بالدِّينار، والدِّرهمُ بالدِّرهم،  </w:t>
      </w:r>
      <w:r>
        <w:rPr>
          <w:color w:val="FF0000"/>
          <w:rtl w:val="1"/>
        </w:rPr>
        <w:t xml:space="preserve">والصَّاعُ بالصَّاع،  </w:t>
      </w:r>
      <w:r>
        <w:rPr>
          <w:color w:val="FF0000"/>
          <w:rtl w:val="1"/>
        </w:rPr>
        <w:t xml:space="preserve">ولا يباعُ كالئٌ بناجِز.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