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105 — الرقم الفرعي: 99 — الرقم الأصلي: 105</w:t>
        <w:br/>
      </w:r>
      <w:r>
        <w:rPr>
          <w:rtl w:val="1"/>
        </w:rPr>
        <w:t xml:space="preserve"> حدثنا عَبِيدة بن حُمَيد حدثني عُبيدالله بن عمر عن نافع عن ابن عمر عن عمر بن الخطاب</w:t>
        <w:br/>
      </w:r>
      <w:r>
        <w:rPr>
          <w:color w:val="000000"/>
          <w:rtl w:val="1"/>
        </w:rPr>
        <w:t xml:space="preserve">قَالَ: سُئِلَ رَسُولُ اللهِ ﷺ أَيَرْقُدُ الرَّجُلُ إِذَا أَجْنَبَ؟ قَالَ: «نَعَمْ إِذَا تَوَضَّأَ»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