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خاتم الذهب-كتاب الخاتم-سنن أبي داود — رقم الحديث: 4222 — الرقم الفرعي: 99 — الرقم الأصلي: 4222</w:t>
        <w:br/>
      </w:r>
      <w:r>
        <w:rPr>
          <w:rtl w:val="1"/>
        </w:rPr>
        <w:t xml:space="preserve"> حدثنا مُسدد ثنا المعتمر قال:سمعت الركين بن الربيع يحدث عن القاسم بن حسان عن عبد الرحمن بن حرملة أنّ ابن مسعود</w:t>
        <w:br/>
      </w:r>
      <w:r>
        <w:rPr>
          <w:color w:val="000000"/>
          <w:rtl w:val="1"/>
        </w:rPr>
        <w:t xml:space="preserve">كان يقولُ:  </w:t>
      </w:r>
      <w:r>
        <w:rPr>
          <w:color w:val="000000"/>
          <w:rtl w:val="1"/>
        </w:rPr>
        <w:t xml:space="preserve">كان نبيُّ اللهِ ﷺ يَكْرَهُ عشرَ خِلالٍ:  </w:t>
      </w:r>
      <w:r>
        <w:rPr>
          <w:color w:val="FF0000"/>
          <w:rtl w:val="1"/>
        </w:rPr>
        <w:t xml:space="preserve">الصُّفرةَ - يعني الخَلُوقَ -  </w:t>
      </w:r>
      <w:r>
        <w:rPr>
          <w:color w:val="FF0000"/>
          <w:rtl w:val="1"/>
        </w:rPr>
        <w:t xml:space="preserve">وتغييرَ الشَّيبِ،  </w:t>
      </w:r>
      <w:r>
        <w:rPr>
          <w:color w:val="000000"/>
          <w:rtl w:val="1"/>
        </w:rPr>
        <w:t xml:space="preserve">وجرَّ الإزار،  </w:t>
      </w:r>
      <w:r>
        <w:rPr>
          <w:color w:val="000000"/>
          <w:rtl w:val="1"/>
        </w:rPr>
        <w:t xml:space="preserve">والتَّختُّمَ بالذَّهبِ،  </w:t>
      </w:r>
      <w:r>
        <w:rPr>
          <w:color w:val="000000"/>
          <w:rtl w:val="1"/>
        </w:rPr>
        <w:t xml:space="preserve">والتبَرُّجَ بالزِّينةِ لِغير مَحَلِّها،  </w:t>
      </w:r>
      <w:r>
        <w:rPr>
          <w:color w:val="000000"/>
          <w:rtl w:val="1"/>
        </w:rPr>
        <w:t xml:space="preserve">والضَّربَ بالكِعَاب،  </w:t>
      </w:r>
      <w:r>
        <w:rPr>
          <w:color w:val="000000"/>
          <w:rtl w:val="1"/>
        </w:rPr>
        <w:t xml:space="preserve">والرُّقَى إلّا بالمعوِّذاتِ،  </w:t>
      </w:r>
      <w:r>
        <w:rPr>
          <w:color w:val="FF0000"/>
          <w:rtl w:val="1"/>
        </w:rPr>
        <w:t xml:space="preserve">وعَقْدَ التَّمائم،  </w:t>
      </w:r>
      <w:r>
        <w:rPr>
          <w:color w:val="000000"/>
          <w:rtl w:val="1"/>
        </w:rPr>
        <w:t xml:space="preserve">وعزلَ الماءِ لِغير أو غيرِ محلِّه،  </w:t>
      </w:r>
      <w:r>
        <w:rPr>
          <w:color w:val="000000"/>
          <w:rtl w:val="1"/>
        </w:rPr>
        <w:t xml:space="preserve">وفسادَ الصَّبيِّ، غَير مُحَرِّمِهِ. </w:t>
      </w:r>
      <w:r>
        <w:rPr>
          <w:color w:val="000000"/>
          <w:rtl w:val="1"/>
        </w:rPr>
        <w:t xml:space="preserve">قال أَبو داود: انفردَ بإسنادِ هذا الحديثِ أَهلُ البصرة.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تجريد الطب من الشعوذة والدجل والخرافات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ترك الشيب - شعر الرأس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