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مقدار القعود في الركعتين الأوليين-أبواب الصلاة-سنن الترمذي — رقم الحديث: 366 — الرقم الفرعي: 99 — الرقم الأصلي: 366</w:t>
        <w:br/>
      </w:r>
      <w:r>
        <w:rPr>
          <w:rtl w:val="1"/>
        </w:rPr>
        <w:t xml:space="preserve"> حدثنا محمود بن غَيلان حدثنا أبو داود هو الطّيالسيّ حدثنا شعبة أخبرنا سعد بن إبراهيم قال:سمعت أبا عبيدة بن عبد الله بن مسعود يحدث عن أبيه</w:t>
        <w:br/>
      </w:r>
      <w:r>
        <w:rPr>
          <w:color w:val="FF0000"/>
          <w:rtl w:val="1"/>
        </w:rPr>
        <w:t xml:space="preserve">قال: كان رَسولُ الله ﷺ إذا جلَسَ في الرَّكعَتَين الأُولَيَين كأنّه على الرَّضْف. </w:t>
      </w:r>
      <w:r>
        <w:rPr>
          <w:color w:val="000000"/>
          <w:rtl w:val="1"/>
        </w:rPr>
        <w:t xml:space="preserve">قال شُعبة: ثم حرَّكَ سعدٌ شَفَتَيه بشيءٍ،  </w:t>
      </w:r>
      <w:r>
        <w:rPr>
          <w:color w:val="000000"/>
          <w:rtl w:val="1"/>
        </w:rPr>
        <w:t xml:space="preserve">فأقولُ: حتى يَقوم؟ فيقول: حتى يَقوم. </w:t>
      </w:r>
      <w:r>
        <w:rPr>
          <w:color w:val="000000"/>
          <w:rtl w:val="1"/>
        </w:rPr>
        <w:t xml:space="preserve">هذا حديثٌ حسن، إلّا أنّ أبا عُبيدةَ لم يَسمع مِن أَبيه. </w:t>
      </w:r>
      <w:r>
        <w:rPr>
          <w:color w:val="000000"/>
          <w:rtl w:val="1"/>
        </w:rPr>
        <w:t xml:space="preserve">والعملُ على هذا عندَ أَهلِ العِلم: يَختارونَ أن لا يُطيلَ الرَّجلُ القُعودَ في الرَّكعتَين الأُولَيَين، ولا يَزيدَ على التَّشهُّد شيئًا، وقالوا: إن زادَ على التَّشهُّد فعليه سجْدتا السَّهو. هكذا رُوي عن الشَّعبيِّ وغيرِه.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مقدار الجلوس في التشهد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