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وجوه الإحرام،وأنّه يجوز إفراد الحجّ والتمتع والقران *-كتاب الحجّ-صحيح مسلم — رقم الحديث: 1213 — الرقم الفرعي: 1 — الرقم الأصلي: 1213</w:t>
        <w:br/>
      </w:r>
      <w:r>
        <w:rPr>
          <w:rtl w:val="1"/>
        </w:rPr>
        <w:t xml:space="preserve"> حدثنا قتيبة بن سعيد و محمد بن رمح جميعاً عن الليث بن سعد قال قتيبة حدثنا ليث عن أبي الزبير عن جابر رضي الله عنه</w:t>
        <w:br/>
      </w:r>
      <w:r>
        <w:rPr>
          <w:color w:val="000000"/>
          <w:rtl w:val="1"/>
        </w:rPr>
        <w:t xml:space="preserve">أَنَّه قال: أَقبَلنَا مُهِلِّينَ مع رَسولِ اللهِ ﷺ بِحَجٍّ مُفْرَدٍ، وأَقبَلَت عَائِشَةُ رضي اللهُ عنها، بعُمرَةٍ حَتَّى إِذا كُنَّا بِسَرِفَ عَرَكَت، حَتَّى إِذا قَدِمنَا طُفنَا بِالكَعبَةِ والصَّفَا والمَروَةِ،  </w:t>
      </w:r>
      <w:r>
        <w:rPr>
          <w:color w:val="FF0000"/>
          <w:rtl w:val="1"/>
        </w:rPr>
        <w:t xml:space="preserve">فأَمَرَنا رسولُ اللهِ ﷺ أَن يَحِلَّ مِنَّا مَن لَم يَكُن مَعَه هَدْيٌ، قال فقلنا: حِلُّ ماذا؟ قال: «الحِلُّ كُلُّه» فوَاقَعنا النِّساءَ، وتَطَيَّبنا بِالطِّيبِ، ولَبِسنا ثِيابَنا،  </w:t>
      </w:r>
      <w:r>
        <w:rPr>
          <w:color w:val="000000"/>
          <w:rtl w:val="1"/>
        </w:rPr>
        <w:t xml:space="preserve">ولَيسَ بَيْنَنَا وَبَيْنَ عَرَفَةَ إِلَّا أَربَعُ لَيَالٍ، ثُمَّ أَهلَلنَا يَومَ التَّروِيَةِ،  </w:t>
      </w:r>
      <w:r>
        <w:rPr>
          <w:color w:val="FF0000"/>
          <w:rtl w:val="1"/>
        </w:rPr>
        <w:t xml:space="preserve">ثُمَّ دَخَلَ رَسُولُ اللهِ ﷺ على عَائِشَةَ رَضِيَ اللهُ عَنْهَا، فوَجَدَها تَبكِي، فَقَالَ: «ما شَأْنُكِ؟» قَالَتْ: شَأْنِي أَنِّي قَد حِضْتُ، وقَد حَلَّ النَّاسُ، ولَمْ أَحلِل، ولم أَطُف بِالبَيتِ والنَّاسُ يَذهَبُون إِلى الحَجِّ الآنَ، فقال: «إِنَّ هذا أَمرٌ كتَبَه اللهُ على بناتِ آدَمَ، فاغتَسِلِي، ثُمَّ أَهِلِّي بِالْحَجِّ» ففَعَلَت ووَقَفَت المَواقِفَ، حتَّى إِذا طَهَرَت طَافَت بِالكَعبَةِ والصَّفا والمَروَةِ،  </w:t>
      </w:r>
      <w:r>
        <w:rPr>
          <w:color w:val="FF0000"/>
          <w:rtl w:val="1"/>
        </w:rPr>
        <w:t xml:space="preserve">ثُمَّ قال: «قَد حَلَلْتِ مِن حَجِّكِ وعُمرَتِكِ جَميعًا»  </w:t>
      </w:r>
      <w:r>
        <w:rPr>
          <w:color w:val="FF0000"/>
          <w:rtl w:val="1"/>
        </w:rPr>
        <w:t xml:space="preserve">فقالت: يا رسولَ اللهِ، إِنِّي أَجِدُ فِي نَفسِي أَنِّي لَم أَطُف بِالبَيتِ حَتَّى حَجَجتُ، قال: «فاذهَب بِها، يا عَبدَ الرَّحمنِ، فأَعْمِرها مِن التَّنعِيمِ». وذلِك ليلَةَ الحَصبَةِ.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التطيب - منهيات الإحرام</w:t>
      </w:r>
    </w:p>
    <w:p>
      <w:pPr>
        <w:bidi w:val="1"/>
        <w:jc w:val="start"/>
      </w:pPr>
      <w:r>
        <w:rPr>
          <w:rtl w:val="1"/>
        </w:rPr>
        <w:t>الشرح: الدلالة: شروط الطواف - الطواف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p>
      <w:pPr>
        <w:bidi w:val="1"/>
        <w:jc w:val="start"/>
      </w:pPr>
      <w:r>
        <w:rPr>
          <w:rtl w:val="1"/>
        </w:rPr>
        <w:t>الشرح: الدلالة: التحلل الأكبر - التحلل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