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فداء الأسير بالمال-كتاب الجهاد-سنن أبي داود — رقم الحديث: 2692 — الرقم الفرعي: 99 — الرقم الأصلي: 2692</w:t>
        <w:br/>
      </w:r>
      <w:r>
        <w:rPr>
          <w:rtl w:val="1"/>
        </w:rPr>
        <w:t xml:space="preserve"> حدثنا عبد الله بن محمد النفيليّ ثنا محمد بن سلمة عن محمد بن إسحاق عن يحيى بن عباد عن أبيه عباد بن عبد الله بن الزبير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لمّا بعثَ أهلُ مكّةَ في فِداءِ أَسْرَاهُم بعثَتْ زَينبُ في فِداءِ أبي العاصِ بمالٍ، وبعثَتْ فيه بقِلادةٍ لها كانت عندَ خَدِيجةَ أَدخلَتْها بها على أَبي العاص،  </w:t>
      </w:r>
      <w:r>
        <w:rPr>
          <w:color w:val="FF0000"/>
          <w:rtl w:val="1"/>
        </w:rPr>
        <w:t xml:space="preserve">قالت: فلمّا رآها رَسولُ الله ﷺ رَقَّ لها رِقَّةً شديدةً،  </w:t>
      </w:r>
      <w:r>
        <w:rPr>
          <w:color w:val="FF0000"/>
          <w:rtl w:val="1"/>
        </w:rPr>
        <w:t xml:space="preserve">وقال: «إن رأيتُم أن تُطلِقُوا لها أَسيرَها وتَرُدُّوا عليها الذي لها»  </w:t>
      </w:r>
      <w:r>
        <w:rPr>
          <w:color w:val="FF0000"/>
          <w:rtl w:val="1"/>
        </w:rPr>
        <w:t xml:space="preserve">فقالوا: نعم،  </w:t>
      </w:r>
      <w:r>
        <w:rPr>
          <w:color w:val="FF0000"/>
          <w:rtl w:val="1"/>
        </w:rPr>
        <w:t xml:space="preserve">وكان رَسولُ الله ﷺ أَخذَ عليه، أو وَعَدَه، أن يُخلِّيَ سَبيلَ زينبَ إليه،  </w:t>
      </w:r>
      <w:r>
        <w:rPr>
          <w:color w:val="FF0000"/>
          <w:rtl w:val="1"/>
        </w:rPr>
        <w:t xml:space="preserve">وبعثَ رَسولُ الله ﷺ زيدَ بنَ حارثةَ ورَجلًا من الأنصارِ، فقال: «كُونا ببَطنِ يَأْجِج حتى تمُرَّ بكُما زَينبُ فتَصْحباها حتى تأْتِيا بها».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الشورى - القيم والأخلاق الحميدة</w:t>
      </w:r>
    </w:p>
    <w:p>
      <w:pPr>
        <w:bidi w:val="1"/>
        <w:jc w:val="start"/>
      </w:pPr>
      <w:r>
        <w:rPr>
          <w:rtl w:val="1"/>
        </w:rPr>
        <w:t>الشرح: الدلالة: تبادل الأسرى - الأسرى وأحكامهم</w:t>
      </w:r>
    </w:p>
    <w:p>
      <w:pPr>
        <w:bidi w:val="1"/>
        <w:jc w:val="start"/>
      </w:pPr>
      <w:r>
        <w:rPr>
          <w:rtl w:val="1"/>
        </w:rPr>
        <w:t>الشرح: الدلالة: قيمة المودَّة والملاطَفة والمحبّة بين الأرحام - مظاهر قيمة صِلَة الرَّحِم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الشورى واتخاذ القرار - القرار بالنفير</w:t>
      </w:r>
    </w:p>
    <w:p>
      <w:pPr>
        <w:bidi w:val="1"/>
        <w:jc w:val="start"/>
      </w:pPr>
      <w:r>
        <w:rPr>
          <w:rtl w:val="1"/>
        </w:rPr>
        <w:t>الشرح: الدلالة: خديجة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الشورى - العوامل الفكرية</w:t>
      </w:r>
    </w:p>
    <w:p>
      <w:pPr>
        <w:bidi w:val="1"/>
        <w:jc w:val="start"/>
      </w:pPr>
      <w:r>
        <w:rPr>
          <w:rtl w:val="1"/>
        </w:rPr>
        <w:t>الشرح: الدلالة: الحاجة إلى الحرية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قيمة الوفاء للعِشْرة بين الزوجين - قيم الوفاء</w:t>
      </w:r>
    </w:p>
    <w:p>
      <w:pPr>
        <w:bidi w:val="1"/>
        <w:jc w:val="start"/>
      </w:pPr>
      <w:r>
        <w:rPr>
          <w:rtl w:val="1"/>
        </w:rPr>
        <w:t>الشرح: الدلالة: قيمة العفو عن الأسرى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لآل بيته - حب النبي ﷺ لأصحابه وأمته ... </w:t>
      </w:r>
    </w:p>
    <w:p>
      <w:pPr>
        <w:bidi w:val="1"/>
        <w:jc w:val="start"/>
      </w:pPr>
      <w:r>
        <w:rPr>
          <w:rtl w:val="1"/>
        </w:rPr>
        <w:t>الشرح: الدلالة: معاملة أسرى 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