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جرّ ذيول النساء-كتاب اللباس-سنن الترمذي — رقم الحديث: 1731 — الرقم الفرعي: 99 — الرقم الأصلي: 1731</w:t>
        <w:br/>
      </w:r>
      <w:r>
        <w:rPr>
          <w:rtl w:val="1"/>
        </w:rPr>
        <w:t xml:space="preserve"> حدثنا الحسن بن عليّ الخلاّل حدثنا عبد الرزاق أخبرنا مَعمر عن أيوب عن نافع عن ابن عمر قال:قال رسول الله صلى الله عليه وسلم</w:t>
        <w:br/>
      </w:r>
      <w:r>
        <w:rPr>
          <w:color w:val="FF0000"/>
          <w:rtl w:val="1"/>
        </w:rPr>
        <w:t xml:space="preserve">«مَن جَرَّ ثَوبَه خُيَلاءَ لم يَنظُر اللهُ إليه يومَ القِيامة».  </w:t>
      </w:r>
      <w:r>
        <w:rPr>
          <w:color w:val="FF0000"/>
          <w:rtl w:val="1"/>
        </w:rPr>
        <w:t xml:space="preserve">فقالت أُمُّ سَلَمة: فكيفَ تَصنعُ النِّساءُ بذُيولِهِنَّ؟ قال: «يُرخِينَ شِبْرًا»  </w:t>
      </w:r>
      <w:r>
        <w:rPr>
          <w:color w:val="FF0000"/>
          <w:rtl w:val="1"/>
        </w:rPr>
        <w:t xml:space="preserve">فقالت: إذًا تَنكَشِفُ أَقدامُهُنَّ، قال: «فيُرخِينَه ذِراعًا، لا يَزِدْنَ عليه».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الاعتدال في اللباس وعدم الإسراف - آداب اللباس</w:t>
      </w:r>
    </w:p>
    <w:p>
      <w:pPr>
        <w:bidi w:val="1"/>
        <w:jc w:val="start"/>
      </w:pPr>
      <w:r>
        <w:rPr>
          <w:rtl w:val="1"/>
        </w:rPr>
        <w:t>الشرح: الدلالة: السدل (طول اللباس ) - هيئات اللباس</w:t>
      </w:r>
    </w:p>
    <w:p>
      <w:pPr>
        <w:bidi w:val="1"/>
        <w:jc w:val="start"/>
      </w:pPr>
      <w:r>
        <w:rPr>
          <w:rtl w:val="1"/>
        </w:rPr>
        <w:t>الشرح: الدلالة: الإسبال أو السدل (جر الثوب خيلاء)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التقيد بضوابط الشرع في اللباس والزينة - زينة البدن والثياب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