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الشام-كتاب الفتن-سنن الترمذي — رقم الحديث: 2192 — الرقم الفرعي: 1 — الرقم الأصلي: 2193</w:t>
        <w:br/>
      </w:r>
      <w:r>
        <w:rPr>
          <w:rtl w:val="1"/>
        </w:rPr>
        <w:t xml:space="preserve"> حدثنا محمود بن غيلان حدثنا أبو داود حدثنا شعبة عن معاوية بن قرّة عن أبيه قال:قال رسول الله صلى الله عليه وسلم</w:t>
        <w:br/>
      </w:r>
      <w:r>
        <w:rPr>
          <w:color w:val="FF0000"/>
          <w:rtl w:val="1"/>
        </w:rPr>
        <w:t xml:space="preserve">«إذا فسَدَ أَهلُ الشّام، فلا خيرَ فِيكُم،  </w:t>
      </w:r>
      <w:r>
        <w:rPr>
          <w:color w:val="FF0000"/>
          <w:rtl w:val="1"/>
        </w:rPr>
        <w:t xml:space="preserve">لا تَزالُ طائفةٌ مِن أُمّتي مَنصُورِينَ، لا يَضرُّهم مَن خَذَلهم حتى تقومَ السَّاعة».  </w:t>
      </w:r>
      <w:r>
        <w:rPr>
          <w:color w:val="000000"/>
          <w:rtl w:val="1"/>
        </w:rPr>
        <w:t xml:space="preserve">قال محمدُ بنُ إسماعيل: قالَ عليُّ بنُ المَدِيني: هم أَصحابُ الحَديث. </w:t>
      </w:r>
      <w:r>
        <w:rPr>
          <w:color w:val="000000"/>
          <w:rtl w:val="1"/>
        </w:rPr>
        <w:t xml:space="preserve">وفي البابِ عن عبدِ اللهِ بنِ حَوَالةَ، وابنِ عُمرَ، وزَيد بنِ ثابت، وعبدِ الله بنِ عَمرو. 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الأول: الطائفة المنصورة الظاهرة على الحق عند وقوع الفتن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