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77 — الرقم الفرعي: 99 — الرقم الأصلي: 77</w:t>
        <w:br/>
      </w:r>
      <w:r>
        <w:rPr>
          <w:rtl w:val="1"/>
        </w:rPr>
        <w:t xml:space="preserve"> حدثنا يحيى بن حمّاد حدثنا أبو عَوانة عن الأعمش عن إسماعيل بن رجاء عن عمير ملاحظة مولى العباس عن ابن عباس</w:t>
        <w:br/>
      </w:r>
      <w:r>
        <w:rPr>
          <w:color w:val="000000"/>
          <w:rtl w:val="1"/>
        </w:rPr>
        <w:t xml:space="preserve">قال: لمّا قُبِضَ رَسولُ الله ﷺ، واستُخلِفَ أَبو بكرٍ،  </w:t>
      </w:r>
      <w:r>
        <w:rPr>
          <w:color w:val="000000"/>
          <w:rtl w:val="1"/>
        </w:rPr>
        <w:t xml:space="preserve">خاصَمَ العَبّاسُ عليًّا في أَشياءَ تَرَكَها رَسولُ الله ﷺ، فقالَ أبو بكر: شيءٌ ترَكَهُ رَسولُ الله ﷺ فلم يُحرِّكْه فلا أُحرِّكُه.  </w:t>
      </w:r>
      <w:r>
        <w:rPr>
          <w:color w:val="000000"/>
          <w:rtl w:val="1"/>
        </w:rPr>
        <w:t xml:space="preserve">فلمّا استُخلِفَ عمرُ، اختَصَما إليه، فقال: شيءٌ لم يُحرِّكْه أبو بَكرٍ فلَستُ أُحرِّكُه،  </w:t>
      </w:r>
      <w:r>
        <w:rPr>
          <w:color w:val="000000"/>
          <w:rtl w:val="1"/>
        </w:rPr>
        <w:t xml:space="preserve">قال: فلمَّا استُخلِفَ عثمانُ اختَصَما إليه، قال: فأَسكَتَ عثمانُ ونَكَّسَ رأسَه،  </w:t>
      </w:r>
      <w:r>
        <w:rPr>
          <w:color w:val="000000"/>
          <w:rtl w:val="1"/>
        </w:rPr>
        <w:t xml:space="preserve">قال ابنُ عبّاس: فخَشيتُ أن يأخُذَه، فضَربتُ بيَدِي بين كَتِفَي العبّاس، فقلتُ: يا أَبَتِ، أَقسمتُ عليكَ إلّا سلَّمْتَه لِعَلِيٍّ، قال: فسَلَّمَه له.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التسامح - القيم والأخلاق المحمودة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