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الحمرة-كتاب اللباس-سنن أبي داود — رقم الحديث: 4071 — الرقم الفرعي: 99 — الرقم الأصلي: 4071</w:t>
        <w:br/>
      </w:r>
      <w:r>
        <w:rPr>
          <w:rtl w:val="1"/>
        </w:rPr>
        <w:t xml:space="preserve"> حدثنا ابن عوف الطائي ثنا محمد بن إسماعيل حدثني أبي ملاحظة قال ابن عوف الطائي:وقرأت في أصل إسماعيل قال:حدثني ضمضم ملاحظة يعني ابن زرعة عن شريح بن عبيد عن حبيب بن عبيد عن حريث بن الأبَجّ السليحي أنّ امرأة من بني أسد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كنتُ يومًا عندَ زَينبَ امرأةِ رسولِ الله ﷺ، ونحنُ نَصبُغ ثيابًا لها بمَغْرَةٍ،  </w:t>
      </w:r>
      <w:r>
        <w:rPr>
          <w:color w:val="000000"/>
          <w:rtl w:val="1"/>
        </w:rPr>
        <w:t xml:space="preserve">فبَينا نحن كذلك إذ طلَعَ علَينا رسولُ الله ﷺ،  </w:t>
      </w:r>
      <w:r>
        <w:rPr>
          <w:color w:val="000000"/>
          <w:rtl w:val="1"/>
        </w:rPr>
        <w:t xml:space="preserve">فلمَّا رأى المَغْرةَ رجَعَ،  </w:t>
      </w:r>
      <w:r>
        <w:rPr>
          <w:color w:val="000000"/>
          <w:rtl w:val="1"/>
        </w:rPr>
        <w:t xml:space="preserve">فلمَّا رأتْ ذلك زَينبُ علِمَتْ أنَّ رسولَ الله ﷺ قد كَرِهَ ما فعَلَت،  </w:t>
      </w:r>
      <w:r>
        <w:rPr>
          <w:color w:val="000000"/>
          <w:rtl w:val="1"/>
        </w:rPr>
        <w:t xml:space="preserve">فأَخذَتْ فَغَسَلتْ ثِيابَها ووارَتْ كلَّ حُمرَة،  </w:t>
      </w:r>
      <w:r>
        <w:rPr>
          <w:color w:val="000000"/>
          <w:rtl w:val="1"/>
        </w:rPr>
        <w:t xml:space="preserve">ثم إنَّ رسولَ الله ﷺ رَجَعَ، فاطَّلَعَ، فلمّا لم يَرَ شيئًا دَخَل.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زينب بنت جحش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صبغ الثياب - زينة الثياب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