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4893 — الرقم الفرعي: 99 — الرقم الأصلي: 4893</w:t>
        <w:br/>
      </w:r>
      <w:r>
        <w:rPr>
          <w:rtl w:val="1"/>
        </w:rPr>
        <w:t xml:space="preserve"> حدثنا عبد الله بن محمد حدثنا وَهْب بن جَرير قال:حدثنا أبي قال:سمعت الزبير عن عِكرمة</w:t>
        <w:br/>
      </w:r>
      <w:r>
        <w:rPr>
          <w:color w:val="FF0000"/>
          <w:rtl w:val="1"/>
        </w:rPr>
        <w:t xml:space="preserve">عن ابنِ عبَّاسٍ في قولِه تعالى: ﴿وَلَا يَعْصِينَكَ فِي مَعْرُوفٍ﴾ [الممتحنة:12].  </w:t>
      </w:r>
      <w:r>
        <w:rPr>
          <w:color w:val="FF0000"/>
          <w:rtl w:val="1"/>
        </w:rPr>
        <w:t xml:space="preserve">قال: إنَّما هو شَرْطٌ، شَرَطَه اللهُ للنِّساءِ. 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الطاعة بالمعروف وعدم الطاعة في المعصية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