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من أدرك ركعتين من العصر-كتاب المواقيت-سنن النسائي — رقم الحديث: 518 — الرقم الفرعي: 99 — الرقم الأصلي: 518</w:t>
        <w:br/>
      </w:r>
      <w:r>
        <w:rPr>
          <w:rtl w:val="1"/>
        </w:rPr>
        <w:t xml:space="preserve"> أخبرنا أبو داود قال:حدثنا سعيد بن عامر قال:حدثنا شعبة عن سعد بن إبراهيم عن نصر بن عبد الرحمن عن جدّه معاذ</w:t>
        <w:br/>
      </w:r>
      <w:r>
        <w:rPr>
          <w:color w:val="000000"/>
          <w:rtl w:val="1"/>
        </w:rPr>
        <w:t xml:space="preserve">أنّه طافَ مع مُعاذِ ابنِ عَفْراءَ فلم يُصَلِّ. فقلتُ: ألَا تُصلِّي؟  </w:t>
      </w:r>
      <w:r>
        <w:rPr>
          <w:color w:val="000000"/>
          <w:rtl w:val="1"/>
        </w:rPr>
        <w:t xml:space="preserve">فقال: إنَّ رسولَ الله ﷺ قال:  </w:t>
      </w:r>
      <w:r>
        <w:rPr>
          <w:color w:val="FF0000"/>
          <w:rtl w:val="1"/>
        </w:rPr>
        <w:t xml:space="preserve">«لا صَلاةَ بعدَ العَصْرِ حتى تَغِيبَ الشَّمسُ،  </w:t>
      </w:r>
      <w:r>
        <w:rPr>
          <w:color w:val="FF0000"/>
          <w:rtl w:val="1"/>
        </w:rPr>
        <w:t xml:space="preserve">ولا بعدَ الصُّبحِ حتى تَطْلُعَ الشَّمس».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p>
      <w:pPr>
        <w:bidi w:val="1"/>
        <w:jc w:val="start"/>
      </w:pPr>
      <w:r>
        <w:rPr>
          <w:rtl w:val="1"/>
        </w:rPr>
        <w:t>الشرح: الدلالة: الأوقات المنهي عن الصلاة فيها - مواقيت الصلاة</w:t>
      </w:r>
    </w:p>
    <w:p>
      <w:pPr>
        <w:bidi w:val="1"/>
        <w:jc w:val="start"/>
      </w:pPr>
      <w:r>
        <w:rPr>
          <w:rtl w:val="1"/>
        </w:rPr>
        <w:t>الشرح: الدلالة: الاقتداء - أساليب البحث عن المعرفة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