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إباحة أكل الثوم،وأنه ينبغي لمن أراد خطاب الكبار تركه،وكذا ما في معناه-كتاب الأشربة-صحيح مسلم — رقم الحديث: 2053 — الرقم الفرعي: 3 — الرقم الأصلي: 2053</w:t>
        <w:br/>
      </w:r>
      <w:r>
        <w:rPr>
          <w:rtl w:val="1"/>
        </w:rPr>
        <w:t xml:space="preserve"> وحدثني حجّاج بن الشاعر و أحمد بن سعيد بن صخر ملاحظة واللفظ منهما قريب قالا:حدثنا أبو النعمان حدثنا ثابت ملاحظة في رواية حجّاج بن يزيد:أبو زيد الأحول حدثنا عاصم بن عبد الله بن الحارث عن أفلح ملاحظة مولى أبي أيوب عن أبي أيوب</w:t>
        <w:br/>
      </w:r>
      <w:r>
        <w:rPr>
          <w:color w:val="000000"/>
          <w:rtl w:val="1"/>
        </w:rPr>
        <w:t xml:space="preserve">أنَّ النّبيَّ ﷺ نزَلَ عليه،  </w:t>
      </w:r>
      <w:r>
        <w:rPr>
          <w:color w:val="FF0000"/>
          <w:rtl w:val="1"/>
        </w:rPr>
        <w:t xml:space="preserve">فنزلَ النّبيُّ ﷺ في السُّفْل، وأَبو أَيوبَ في العُلْوِ،  </w:t>
      </w:r>
      <w:r>
        <w:rPr>
          <w:color w:val="FF0000"/>
          <w:rtl w:val="1"/>
        </w:rPr>
        <w:t xml:space="preserve">قال: فانتَبهَ أَبو أَيوبَ لَيلةً، فقال: نَمشِي فوقَ رأسِ رسولِ الله ﷺ! فتَنحَّوا فباتُوا في جانب، ثم قال للنّبيِّ ﷺ، فقالَ النّبيُّ ﷺ: «السُّفْلُ أَرفَق»، فقال: لا أَعلُو سَقِيفةً أَنتَ تحتَها، فتحوَّلَ النّبيُّ ﷺ في العُلْو، وأَبو أَيوبَ في السُّفْل،  </w:t>
      </w:r>
      <w:r>
        <w:rPr>
          <w:color w:val="FF0000"/>
          <w:rtl w:val="1"/>
        </w:rPr>
        <w:t xml:space="preserve">فكان يَصنعُ للنّبيِّ ﷺ طعامًا، فإذا جِيءَ به إليهِ سألَ عن مَوضِع أَصابعِه فيَتتَبَّعُ مَوضعَ أَصابعِه،  </w:t>
      </w:r>
      <w:r>
        <w:rPr>
          <w:color w:val="000000"/>
          <w:rtl w:val="1"/>
        </w:rPr>
        <w:t xml:space="preserve">فصَنعَ له طعامًا فيه ثُوم، فلمَّا ردَّ إليه، سألَ عن مَوضِع أَصابعِ النّبيِّ ﷺ، فقيلَ له: لم يأكُل، ففَزِعَ وصَعِدَ إليه، فقال: أَحرامٌ هو؟ فقال النّبيُّ ﷺ: «لا، ولكنِّي أَكرَهُه»، قال: فإنِّي أَكرهُ ما تَكرَه - أو ما كَرِهتَ -  </w:t>
      </w:r>
      <w:r>
        <w:rPr>
          <w:color w:val="000000"/>
          <w:rtl w:val="1"/>
        </w:rPr>
        <w:t xml:space="preserve">قال: وكان النّبيُّ ﷺ يُؤتَى. </w:t>
      </w:r>
    </w:p>
    <w:p>
      <w:pPr>
        <w:bidi w:val="1"/>
        <w:jc w:val="start"/>
      </w:pPr>
      <w:r>
        <w:rPr>
          <w:rtl w:val="1"/>
        </w:rPr>
        <w:t>الشرح: الدلالة: نزوله في دار أبي أيوب الأنصاري - أحداث السنة الأولى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