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التعوذ من شرّ ما عمل،ومن شر ما لم يعمل-كتاب الذكر والدعاء والتوبة والإستغفار-صحيح مسلم — رقم الحديث: 2723 — الرقم الفرعي: 2 — الرقم الأصلي: 2723</w:t>
        <w:br/>
      </w:r>
      <w:r>
        <w:rPr>
          <w:rtl w:val="1"/>
        </w:rPr>
        <w:t xml:space="preserve"> حدثنا عثمان بن أبي شيبة حدثنا جرير عن الحسن بن عبيدالله عن إبراهيم بن سُوَيْد عن عبد الرحمن بن يزيد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نبيُّ اللهِ ﷺ إذا أَمسَى قال: «أَمسَينا وأَمسَى المُلكُ لله، والحمدُ لله، لا إلهَ إلّا اللهُ وحدَه لا شَريكَ له» قال: أُراهُ قالَ فيهِنَّ: «له المُلكُ، وله الحمدُ، وهو على كلِّ شَيءٍ قَدير،  </w:t>
      </w:r>
      <w:r>
        <w:rPr>
          <w:color w:val="000000"/>
          <w:rtl w:val="1"/>
        </w:rPr>
        <w:t xml:space="preserve">ربِّ أَسألُكَ خيرَ ما في هذه اللَّيلةِ وخيرَ ما بعدَها، وأَعوذُ بكَ مِن شَرِّ ما في هذه اللَّيلةِ وشَرِّ ما بعدَها،  </w:t>
      </w:r>
      <w:r>
        <w:rPr>
          <w:color w:val="000000"/>
          <w:rtl w:val="1"/>
        </w:rPr>
        <w:t xml:space="preserve">ربِّ أَعوذُ بكَ مِن الكَسَلِ وسُوءِ الكِبَر،  </w:t>
      </w:r>
      <w:r>
        <w:rPr>
          <w:color w:val="FF0000"/>
          <w:rtl w:val="1"/>
        </w:rPr>
        <w:t xml:space="preserve">ربِّ أَعوذُ بكَ مِن عذابٍ في النّار وعذابٍ في القَبر»،  </w:t>
      </w:r>
      <w:r>
        <w:rPr>
          <w:color w:val="000000"/>
          <w:rtl w:val="1"/>
        </w:rPr>
        <w:t xml:space="preserve">وإذا أَصبحَ قال ذلك أَيضًا: «أَصبَحنا وأَصبَحَ المُلكُ 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الاستعاذة بالله من عذاب القبر - عاشرًا: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