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المتوفّى عنها تنتقل-تفريع أبواب الطلاق-سنن أبي داود — رقم الحديث: 2300 — الرقم الفرعي: 99 — الرقم الأصلي: 2300</w:t>
        <w:br/>
      </w:r>
      <w:r>
        <w:rPr>
          <w:rtl w:val="1"/>
        </w:rPr>
        <w:t xml:space="preserve"> حدثنا عبد الله بن مسلمة القعنبيّ عن مالك عن سعد بن إسحاق بن كعب بن عجرة عن عمّته زينب بنت كعب بن عجرة أنّ الفُرَيْعَة بنت مالك بن سنان ملاحظة وهي أُخت أبي سعيد الخدريّ</w:t>
        <w:br/>
      </w:r>
      <w:r>
        <w:rPr>
          <w:color w:val="000000"/>
          <w:rtl w:val="1"/>
        </w:rPr>
        <w:t xml:space="preserve">أخبرتها، </w:t>
      </w:r>
      <w:r>
        <w:rPr>
          <w:color w:val="000000"/>
          <w:rtl w:val="1"/>
        </w:rPr>
        <w:t xml:space="preserve">أنها جاءت إلى رسولِ الله ﷺ تسألُه أن تَرْجع إلى أهلها في بني خُدرةَ،  </w:t>
      </w:r>
      <w:r>
        <w:rPr>
          <w:color w:val="000000"/>
          <w:rtl w:val="1"/>
        </w:rPr>
        <w:t xml:space="preserve">فإنَّ زوجَها خَرَجَ في طلبِ أعبُدٍ له أَبَقُوا، حتى إذا كانوا بطرف القَدُوم لحِقَهم فقَتَلُوه،  </w:t>
      </w:r>
      <w:r>
        <w:rPr>
          <w:color w:val="FF0000"/>
          <w:rtl w:val="1"/>
        </w:rPr>
        <w:t xml:space="preserve">فسألتُ رسولَ الله ﷺ أن أرجِعَ إلى أهلي؛ فإنِّي لم يَترُكني في مَسكَنٍ يَملِكُه ولا نَفَقَة،  </w:t>
      </w:r>
      <w:r>
        <w:rPr>
          <w:color w:val="FF0000"/>
          <w:rtl w:val="1"/>
        </w:rPr>
        <w:t xml:space="preserve">قالت: فقالَ رسولُ الله ﷺ: «نَعَمْ»  </w:t>
      </w:r>
      <w:r>
        <w:rPr>
          <w:color w:val="FF0000"/>
          <w:rtl w:val="1"/>
        </w:rPr>
        <w:t xml:space="preserve">قالت: فخرجتُ حتى إذا كنتُ في الحُجرة - أو في المسجدِ - دعاني - أو أمَرَ بي فَدُعِيتُ له - فقال: «كيف قُلتِ؟» فردَّدتُ عليه القِصَّةَ التي ذكرتُ مِن شأنِ زَوجي،  </w:t>
      </w:r>
      <w:r>
        <w:rPr>
          <w:color w:val="FF0000"/>
          <w:rtl w:val="1"/>
        </w:rPr>
        <w:t xml:space="preserve">قالت: فقال: «امْكُثِي في بيتِكَ حتى يَبلُغَ الكِتابُ أجلَه»،  </w:t>
      </w:r>
      <w:r>
        <w:rPr>
          <w:color w:val="FF0000"/>
          <w:rtl w:val="1"/>
        </w:rPr>
        <w:t xml:space="preserve">قالت: فاعتدَدتُ فيه أربعةَ أشهُرٍ وعشرًا،  </w:t>
      </w:r>
      <w:r>
        <w:rPr>
          <w:color w:val="FF0000"/>
          <w:rtl w:val="1"/>
        </w:rPr>
        <w:t xml:space="preserve">قالت: فلما كان عثمانُ بن عفان أرسلَ إليَّ فسألني عن ذلك، فأخبرته، فاتَّبعَه وقَضَى به.  </w:t>
      </w:r>
    </w:p>
    <w:p>
      <w:pPr>
        <w:bidi w:val="1"/>
        <w:jc w:val="start"/>
      </w:pPr>
      <w:r>
        <w:rPr>
          <w:rtl w:val="1"/>
        </w:rPr>
        <w:t>درجة الحديث: صحيح</w:t>
      </w:r>
    </w:p>
    <w:p>
      <w:pPr>
        <w:bidi w:val="1"/>
        <w:jc w:val="start"/>
      </w:pPr>
      <w:r>
        <w:rPr>
          <w:rtl w:val="1"/>
        </w:rPr>
        <w:t>الشرح: الدلالة: تاريخ الخلفاء الراشدين ومناقبهم</w:t>
      </w:r>
    </w:p>
    <w:p>
      <w:pPr>
        <w:bidi w:val="1"/>
        <w:jc w:val="start"/>
      </w:pPr>
      <w:r>
        <w:rPr>
          <w:rtl w:val="1"/>
        </w:rPr>
        <w:t>الشرح: الدلالة: الحاكمية لله - قواعد النظام السياسي</w:t>
      </w:r>
    </w:p>
    <w:p>
      <w:pPr>
        <w:bidi w:val="1"/>
        <w:jc w:val="start"/>
      </w:pPr>
      <w:r>
        <w:rPr>
          <w:rtl w:val="1"/>
        </w:rPr>
        <w:t>الشرح: الدلالة: تبليغ العلم ونشره - القيم والأخلاق المحمودة</w:t>
      </w:r>
    </w:p>
    <w:p>
      <w:pPr>
        <w:bidi w:val="1"/>
        <w:jc w:val="start"/>
      </w:pPr>
      <w:r>
        <w:rPr>
          <w:rtl w:val="1"/>
        </w:rPr>
        <w:t>الشرح: الدلالة: تاريخ عثمان بن عفان وخلافته ومناقبه - تاريخ الخلفاء الراشدين ومناقبهم</w:t>
      </w:r>
    </w:p>
    <w:p>
      <w:pPr>
        <w:bidi w:val="1"/>
        <w:jc w:val="start"/>
      </w:pPr>
      <w:r>
        <w:rPr>
          <w:rtl w:val="1"/>
        </w:rPr>
        <w:t>الشرح: الدلالة: الاعتصام بالكتاب والسنة (الثبات) - المباديء</w:t>
      </w:r>
    </w:p>
    <w:p>
      <w:pPr>
        <w:bidi w:val="1"/>
        <w:jc w:val="start"/>
      </w:pPr>
      <w:r>
        <w:rPr>
          <w:rtl w:val="1"/>
        </w:rPr>
        <w:t>الشرح: الدلالة: مراعاة الفطرة الإنسانية - المباديء</w:t>
      </w:r>
    </w:p>
    <w:p>
      <w:pPr>
        <w:bidi w:val="1"/>
        <w:jc w:val="start"/>
      </w:pPr>
      <w:r>
        <w:rPr>
          <w:rtl w:val="1"/>
        </w:rPr>
        <w:t>الشرح: الدلالة: الالتزام بالكتاب والسنة</w:t>
      </w:r>
    </w:p>
    <w:p>
      <w:pPr>
        <w:bidi w:val="1"/>
        <w:jc w:val="start"/>
      </w:pPr>
      <w:r>
        <w:rPr>
          <w:rtl w:val="1"/>
        </w:rPr>
        <w:t>الشرح: الدلالة: قيمة التثبت قبل الحكم أو القضاء - القيم السياسية والإدارية</w:t>
      </w:r>
    </w:p>
    <w:p>
      <w:pPr>
        <w:bidi w:val="1"/>
        <w:jc w:val="start"/>
      </w:pPr>
      <w:r>
        <w:rPr>
          <w:rtl w:val="1"/>
        </w:rPr>
        <w:t>الشرح: الدلالة: عدة المتوفى عنها زوجها - حساب العدة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تحرِّي النبيِّ ﷺ وتثبُّته - التحرِّي والتثبُّت</w:t>
      </w:r>
    </w:p>
    <w:p>
      <w:pPr>
        <w:bidi w:val="1"/>
        <w:jc w:val="start"/>
      </w:pPr>
      <w:r>
        <w:rPr>
          <w:rtl w:val="1"/>
        </w:rPr>
        <w:t>الشرح: الدلالة: حقه في توفير المأكل والمشرب والملبس والمسكن – حق العيش الكريم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