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رقم الحديث: 3729 — الرقم الفرعي: 99 — الرقم الأصلي: 50332</w:t>
        <w:br/>
      </w:r>
      <w:r>
        <w:rPr>
          <w:rtl w:val="1"/>
        </w:rPr>
        <w:t xml:space="preserve"> حدثنا خلاد بن أسلم البغدادي، حدثنا النضر بن شميل، أخبرنا عوف، عن عبد الله بن عمرو بن هند الجملي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عليٌّ: كنتُ إذا سألتُ رسولَ الله ﷺ أَعطاني، وإذا سكتُّ ابتَدَأَني. </w:t>
      </w:r>
      <w:r>
        <w:rPr>
          <w:color w:val="000000"/>
          <w:rtl w:val="1"/>
        </w:rPr>
        <w:t xml:space="preserve">هذا حديثٌ حسنٌ غريبٌ من هذا الوجه. </w:t>
      </w:r>
      <w:r>
        <w:rPr>
          <w:color w:val="000000"/>
          <w:rtl w:val="1"/>
        </w:rPr>
        <w:t xml:space="preserve">وفي الباب عن جابر، وزَيد بن أسلم، وأَبي هُريرةَ، وأُم سَلَمة.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