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أذان الأعمى إذا كان له من يُخبره-كتاب الصلاة-صحيح البخاري — رقم الحديث: 617 — الرقم الفرعي: 99 — الرقم الأصلي: 617</w:t>
        <w:br/>
      </w:r>
      <w:r>
        <w:rPr>
          <w:rtl w:val="1"/>
        </w:rPr>
        <w:t xml:space="preserve"> حدثنا عبد الله بن مسلمة عن مالك عن ابن شهاب عن سالم بن عبد الله عن أبيه أنّ رسول الله صلى الله عليه وسلم</w:t>
        <w:br/>
      </w:r>
      <w:r>
        <w:rPr>
          <w:color w:val="FF0000"/>
          <w:rtl w:val="1"/>
        </w:rPr>
        <w:t xml:space="preserve">قال: «إنَّ بلالًا يُؤَذِّنُ بلَيلٍ، فكُلُوا واشرَبُوا حتَّى يُنادِيَ ابنُ أمِّ مَكْتُوم». </w:t>
      </w:r>
      <w:r>
        <w:rPr>
          <w:color w:val="FF0000"/>
          <w:rtl w:val="1"/>
        </w:rPr>
        <w:t xml:space="preserve">ثمَّ قال: وكان رجلًا أعمَى لا يُنادي حتَّى يُقالَ له: أصبَحْتَ أصبَحْتَ.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المحفوظ وغير المحفوظ،، - اختلاف الروايات</w:t>
      </w:r>
    </w:p>
    <w:p>
      <w:pPr>
        <w:bidi w:val="1"/>
        <w:jc w:val="start"/>
      </w:pPr>
      <w:r>
        <w:rPr>
          <w:rtl w:val="1"/>
        </w:rPr>
        <w:t>الشرح: الدلالة: السحور - ما يستحب للصائم</w:t>
      </w:r>
    </w:p>
    <w:p>
      <w:pPr>
        <w:bidi w:val="1"/>
        <w:jc w:val="start"/>
      </w:pPr>
      <w:r>
        <w:rPr>
          <w:rtl w:val="1"/>
        </w:rPr>
        <w:t>الشرح: الدلالة: تأخير السحور - الصيام والتغذية</w:t>
      </w:r>
    </w:p>
    <w:p>
      <w:pPr>
        <w:bidi w:val="1"/>
        <w:jc w:val="start"/>
      </w:pPr>
      <w:r>
        <w:rPr>
          <w:rtl w:val="1"/>
        </w:rPr>
        <w:t>الشرح: الدلالة: المنقطع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الأذان للصلاة المفروضة - أسباب الأذان</w:t>
      </w:r>
    </w:p>
    <w:p>
      <w:pPr>
        <w:bidi w:val="1"/>
        <w:jc w:val="start"/>
      </w:pPr>
      <w:r>
        <w:rPr>
          <w:rtl w:val="1"/>
        </w:rPr>
        <w:t>الشرح: الدلالة: تعدد المؤذنين وكيفية أذانهم - أحكام المؤذن</w:t>
      </w:r>
    </w:p>
    <w:p>
      <w:pPr>
        <w:bidi w:val="1"/>
        <w:jc w:val="start"/>
      </w:pPr>
      <w:r>
        <w:rPr>
          <w:rtl w:val="1"/>
        </w:rPr>
        <w:t>الشرح: الدلالة: وقت الإمساك في أول أمر الصيام - الإمساك عن المفطرات</w:t>
      </w:r>
    </w:p>
    <w:p>
      <w:pPr>
        <w:bidi w:val="1"/>
        <w:jc w:val="start"/>
      </w:pPr>
      <w:r>
        <w:rPr>
          <w:rtl w:val="1"/>
        </w:rPr>
        <w:t>الشرح: الدلالة: الإمساك عند طلوع الفجر الصادق - الإمساك عن المفطرات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المؤذنون والأئمة والخطباء اللذين ولاهم صلى الله عليه وسلم وسياسته صلى الله عليه وسلم في توليتهم.////////////////////////////</w:t>
      </w:r>
    </w:p>
    <w:p>
      <w:pPr>
        <w:bidi w:val="1"/>
        <w:jc w:val="start"/>
      </w:pPr>
      <w:r>
        <w:rPr>
          <w:rtl w:val="1"/>
        </w:rPr>
        <w:t>الشرح: الدلالة: الأذان قبل الفجر لتنبيه النائم - أسباب الأذان</w:t>
      </w:r>
    </w:p>
    <w:p>
      <w:pPr>
        <w:bidi w:val="1"/>
        <w:jc w:val="start"/>
      </w:pPr>
      <w:r>
        <w:rPr>
          <w:rtl w:val="1"/>
        </w:rPr>
        <w:t>الشرح: الدلالة: * قيمة النظام في الصيام - النظام في أداء العبادات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