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 النهي عن الدخول على النساء إلاّ بإذن الأزواج-كتاب الأدب-سنن الترمذي — رقم الحديث: 2779 — الرقم الفرعي: 99 — الرقم الأصلي: 2780</w:t>
        <w:br/>
      </w:r>
      <w:r>
        <w:rPr>
          <w:rtl w:val="1"/>
        </w:rPr>
        <w:t xml:space="preserve"> حدثنا سويد بن نصر حدثنا عبد الله بن المبارك أخبرنا شعبة عن الحكم عن ذكوان عن مولى عمرو بن العاص</w:t>
        <w:br/>
      </w:r>
      <w:r>
        <w:rPr>
          <w:color w:val="FF0000"/>
          <w:rtl w:val="1"/>
        </w:rPr>
        <w:t xml:space="preserve">أنَّ عَمرَو بنَ العاص، رضي الله عنه، أرسَلَهُ إلى عليٍّ يَستأذِنُه على أسْماءَ بنتِ عُمَيس، فأَذِنَ له،  </w:t>
      </w:r>
      <w:r>
        <w:rPr>
          <w:color w:val="000000"/>
          <w:rtl w:val="1"/>
        </w:rPr>
        <w:t xml:space="preserve">حتى إذا فَرَغَ مِن حاجَتِه سأل المَولَى عَمرَو بنَ العاص عن ذلك،  </w:t>
      </w:r>
      <w:r>
        <w:rPr>
          <w:color w:val="FF0000"/>
          <w:rtl w:val="1"/>
        </w:rPr>
        <w:t xml:space="preserve">فقال: إنَّ رسولَ الله ﷺ نَهانا أنْ نَدخُلَ على النِّساءِ بغَيرِ إذْنِ أزْواجِهِنّ. </w:t>
      </w:r>
      <w:r>
        <w:rPr>
          <w:color w:val="000000"/>
          <w:rtl w:val="1"/>
        </w:rPr>
        <w:t xml:space="preserve">وفي الباب عن عقبة بن عامر، وعبد الله بن عمر، وجابر. </w:t>
      </w:r>
      <w:r>
        <w:rPr>
          <w:color w:val="000000"/>
          <w:rtl w:val="1"/>
        </w:rPr>
        <w:t xml:space="preserve">هذا حديثٌ حسنٌ صحيح.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حسن صحيح - الصحيح</w:t>
      </w:r>
    </w:p>
    <w:p>
      <w:pPr>
        <w:bidi w:val="1"/>
        <w:jc w:val="start"/>
      </w:pPr>
      <w:r>
        <w:rPr>
          <w:rtl w:val="1"/>
        </w:rPr>
        <w:t>الشرح: الدلالة: الفصل في التعليم - المباديء</w:t>
      </w:r>
    </w:p>
    <w:p>
      <w:pPr>
        <w:bidi w:val="1"/>
        <w:jc w:val="start"/>
      </w:pPr>
      <w:r>
        <w:rPr>
          <w:rtl w:val="1"/>
        </w:rPr>
        <w:t>الشرح: الدلالة: الاستئذان - آداب البيوت والمجالس</w:t>
      </w:r>
    </w:p>
    <w:p>
      <w:pPr>
        <w:bidi w:val="1"/>
        <w:jc w:val="start"/>
      </w:pPr>
      <w:r>
        <w:rPr>
          <w:rtl w:val="1"/>
        </w:rPr>
        <w:t>الشرح: الدلالة: عدم الخلوة بالنساء الأجنبيات - آداب البيوت والمجالس</w:t>
      </w:r>
    </w:p>
    <w:p>
      <w:pPr>
        <w:bidi w:val="1"/>
        <w:jc w:val="start"/>
      </w:pPr>
      <w:r>
        <w:rPr>
          <w:rtl w:val="1"/>
        </w:rPr>
        <w:t>الشرح: الدلالة: عدم الاختلاط بين النساء والرجال - آداب البيوت والمجالس</w:t>
      </w:r>
    </w:p>
    <w:p>
      <w:pPr>
        <w:bidi w:val="1"/>
        <w:jc w:val="start"/>
      </w:pPr>
      <w:r>
        <w:rPr>
          <w:rtl w:val="1"/>
        </w:rPr>
        <w:t>الشرح: الدلالة: قيمة الاستئذان على النساء بإذن أزواجهنَّ - مظاهر قيمة الاستئذان</w:t>
      </w:r>
    </w:p>
    <w:p>
      <w:pPr>
        <w:bidi w:val="1"/>
        <w:jc w:val="start"/>
      </w:pPr>
      <w:r>
        <w:rPr>
          <w:rtl w:val="1"/>
        </w:rPr>
        <w:t>الشرح: الدلالة: الاستدلال والاستشهاد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الاقتداء - أساليب البحث عن المعرفة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