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التمتّع والإقران والإفراد بالحجّ ،وفسخ الحجّ لمن لم يكن معه هدي-كتاب الحجّ-صحيح البخاري — رقم الحديث: 1566 — الرقم الفرعي: 99 — الرقم الأصلي: 1566</w:t>
        <w:br/>
      </w:r>
      <w:r>
        <w:rPr>
          <w:rtl w:val="1"/>
        </w:rPr>
        <w:t xml:space="preserve"> حدثنا إسماعيل قال:حدثني مالك وحدثنا عبد الله بن يوسف أخبرنا مالك عن نافع عن ابن عمر عن حفصة رضي الله عنهم زوج النبيّ صلى الله عليه وسلم</w:t>
        <w:br/>
      </w:r>
      <w:r>
        <w:rPr>
          <w:color w:val="FF0000"/>
          <w:rtl w:val="1"/>
        </w:rPr>
        <w:t xml:space="preserve">أنَّها قالت: يا رسولَ الله، ما شأنُ النّاس حَلُّوا بعُمْرةٍ، ولم تَحلِلْ أنتَ من عُمْرَتِكَ؟ قال: «إنّي لَبَّدْتُ رأسي، وقَلَّدْتُ هَدْيي، فلا أَحِلُّ حتَّى أنْحَرَ». 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