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ما جاء في ليلة النصف من شعبان-كتاب إقامة الصلاة-سنن ابن ماجة — رقم الحديث: 1388 — الرقم الفرعي: 99 — الرقم الأصلي: 1388</w:t>
        <w:br/>
      </w:r>
      <w:r>
        <w:rPr>
          <w:rtl w:val="1"/>
        </w:rPr>
        <w:t xml:space="preserve"> حدثنا الحسن بن عليّ الخلاّل ثنا عبد الرزّاق أنبأنا ابن أبي سبرة عن إبراهيم بن محمد عن معاوية بن عبد الله بن جعفر عن أبيه عن عليّ بن أبي طالب قال:قال رسول الله صلى الله عليه وسلم</w:t>
        <w:br/>
      </w:r>
      <w:r>
        <w:rPr>
          <w:color w:val="FF0000"/>
          <w:rtl w:val="1"/>
        </w:rPr>
        <w:t xml:space="preserve">«إِذَا كَانَتْ لَيْلَةُ النِّصْفِ مِنْ شَعْبَانَ، فَقُومُوا لَيْلَهَا، وَصُومُوا نَهَارَهَا، فَإِنَّ اللَّهَ يَنْزِلُ فِيهَا لِغُرُوبِ الشَّمْسِ إِلَى سَمَاءِ الدُّنْيَا، فَيَقُولُ: أَلَا مِنْ مُسْتَغْفِرٍ لِي فَأَغْفِرَ لَهُ، أَلَا مُسْتَرْزِقٌ فَأَرْزُقَهُ، أَلَا مُبْتَلًى فَأُعَافِيَهُ، أَلَا كَذَا أَلَا كَذَا، حَتَّى يَطْلُعَ الْفَجْرُ». </w:t>
      </w:r>
    </w:p>
    <w:p>
      <w:pPr>
        <w:bidi w:val="1"/>
        <w:jc w:val="start"/>
      </w:pPr>
      <w:r>
        <w:rPr>
          <w:rtl w:val="1"/>
        </w:rPr>
        <w:t>درجة الحديث: ضعيف جدا / ضعيف جدا</w:t>
      </w:r>
    </w:p>
    <w:p>
      <w:pPr>
        <w:bidi w:val="1"/>
        <w:jc w:val="start"/>
      </w:pPr>
      <w:r>
        <w:rPr>
          <w:rtl w:val="1"/>
        </w:rPr>
        <w:t>الشرح: الدلالة: الأوقات التي يستحب فيها الدعاء - الذكر والدعاء لأزمنة معينة</w:t>
      </w:r>
    </w:p>
    <w:p>
      <w:pPr>
        <w:bidi w:val="1"/>
        <w:jc w:val="start"/>
      </w:pPr>
      <w:r>
        <w:rPr>
          <w:rtl w:val="1"/>
        </w:rPr>
        <w:t>الشرح: الدلالة: أذكار الاستغفار وفضله - الذكر والدعاء في العبادات</w:t>
      </w:r>
    </w:p>
    <w:p>
      <w:pPr>
        <w:bidi w:val="1"/>
        <w:jc w:val="start"/>
      </w:pPr>
      <w:r>
        <w:rPr>
          <w:rtl w:val="1"/>
        </w:rPr>
        <w:t>الشرح: الدلالة: التصور الإسلامي للالوهية - التصور الإسلامي</w:t>
      </w:r>
    </w:p>
    <w:p>
      <w:pPr>
        <w:bidi w:val="1"/>
        <w:jc w:val="start"/>
      </w:pPr>
      <w:r>
        <w:rPr>
          <w:rtl w:val="1"/>
        </w:rPr>
        <w:t>الشرح: الدلالة: ما ورد في ليلة النصف من شعبان - ما ورد في الأيام والليالي</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ضعيف.، - أقسام الرواة جرحا وتعديلا</w:t>
      </w:r>
    </w:p>
    <w:p>
      <w:pPr>
        <w:bidi w:val="1"/>
        <w:jc w:val="start"/>
      </w:pPr>
      <w:r>
        <w:rPr>
          <w:rtl w:val="1"/>
        </w:rPr>
        <w:t>الشرح: الدلالة: ضعيف لا يتقوى - أقسام الرواة جرحا وتعديلا</w:t>
      </w:r>
    </w:p>
    <w:p>
      <w:pPr>
        <w:bidi w:val="1"/>
        <w:jc w:val="start"/>
      </w:pPr>
      <w:r>
        <w:rPr>
          <w:rtl w:val="1"/>
        </w:rPr>
        <w:t>الشرح: الدلالة: يضع الحديث - أقسام الرواة جرحا وتعديلا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