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21382 — الرقم الفرعي: 99 — الرقم الأصلي: 21382 — ج: 5 — ص: 156</w:t>
        <w:br/>
      </w:r>
      <w:r>
        <w:rPr>
          <w:rtl w:val="1"/>
        </w:rPr>
        <w:t xml:space="preserve"> حدثنا عليّ بن عبد الله ثنا معتمر بن سليمان قال:سمعت داود بن أبي هند عن أبي حرب بن الأسود الديليّ عن عمّه عن أبي ذرّ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أَتاني نبيُّ الله ﷺ وأنا نائمٌ في مسجدِ المدينة، فضرَبَني برِجْلِه، فقال: «ألا أراكَ نائمًا فيه؟» قال: قلتُ: يا نبيَّ الله، غلَبَتْني عيني،  </w:t>
      </w:r>
      <w:r>
        <w:rPr>
          <w:color w:val="000000"/>
          <w:rtl w:val="1"/>
        </w:rPr>
        <w:t xml:space="preserve">قال: «كيفَ تَصنعُ إذا أُخرجْتَ منه؟» قال: آتي الشامَ، الأرضَ المُقدَّسةَ المُباركة، قال: «كيف تَصنعُ إذا أُخرِجْتَ من الشام؟» قال: أعودُ إليه، قال: «كيف تصنعُ إذا أُخرِجْتَ منه؟»  </w:t>
      </w:r>
      <w:r>
        <w:rPr>
          <w:color w:val="FF0000"/>
          <w:rtl w:val="1"/>
        </w:rPr>
        <w:t xml:space="preserve">قال: ما أَصنعُ يا نبيَّ الله، أَضرِبُ بسَيفي؟! فقال النبيُّ ﷺ: «ألا أَدلُّك على ما هو خيرٌ لكَ من ذلك، وأَقربُ رُشْدًا؟ تَسمعُ وتُطيعُ، وتَنساقُ لهم حيثُ ساقُوك».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الشروط في البيوع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الفصل السابع: ترك السلاح والعزلة في الفتن ومقاطعة أهلها - كيفية التصرف عند وقوع الفتن</w:t>
      </w:r>
    </w:p>
    <w:p>
      <w:pPr>
        <w:bidi w:val="1"/>
        <w:jc w:val="start"/>
      </w:pPr>
      <w:r>
        <w:rPr>
          <w:rtl w:val="1"/>
        </w:rPr>
        <w:t>الشرح: الدلالة: الفصل التاسع: لزوم الجماعة والسمع والطاعة في غير معصية عند الفتن - كيفية التصرف عند وقوع الفتن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