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27160 — الرقم الفرعي: 99 — الرقم الأصلي: 27160 — ج: 6 — ص: 384</w:t>
        <w:br/>
      </w:r>
      <w:r>
        <w:rPr>
          <w:rtl w:val="1"/>
        </w:rPr>
        <w:t xml:space="preserve"> حدثنا عبد الله حدثني أبي ثنا يحيى بن سعيد قال:ثنا ابن أبي ذئب قال:ثنا سعيد ملاحظة يعني المقبريّ قال:سمعت أبا شريح الكعبيّ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يومَ فَتحِ مكّة: «إنَّ اللهَ عزَّ وجلَّ حرَّمَ مكّةَ ولم يُحرِّمْها النّاسُ،  </w:t>
      </w:r>
      <w:r>
        <w:rPr>
          <w:color w:val="FF0000"/>
          <w:rtl w:val="1"/>
        </w:rPr>
        <w:t xml:space="preserve">فمَن كان يؤمنُ باللهِ واليومِ الآخِرِ فلا يَسفِكَنَّ فيها دمًا، ولا يَعضُدَنَّ فيها شجَرًا،  </w:t>
      </w:r>
      <w:r>
        <w:rPr>
          <w:color w:val="FF0000"/>
          <w:rtl w:val="1"/>
        </w:rPr>
        <w:t xml:space="preserve">فإنْ ترَخَّصَ مُترخِّصٌ، فقال: أُحلَّت لِرسولِ الله ﷺ، فإنَّ اللهَ أَحلَّها لي، ولم يُحِلَّها للنَّاس، وهي ساعتِي هذه حرامٌ إلى أن تقومَ السَّاعة،  </w:t>
      </w:r>
      <w:r>
        <w:rPr>
          <w:color w:val="FF0000"/>
          <w:rtl w:val="1"/>
        </w:rPr>
        <w:t xml:space="preserve">إنّكم مَعشرَ خُزاعةَ قَتلتُم هذا القَتِيلَ، وإنِّي عاقِلُه،  </w:t>
      </w:r>
      <w:r>
        <w:rPr>
          <w:color w:val="FF0000"/>
          <w:rtl w:val="1"/>
        </w:rPr>
        <w:t xml:space="preserve">فمَن قُتِلَ له قَتيلٌ بعدَ مَقالَتِي هذه، فأَهلُه بين خِيرَتَين: إمّا أن يَقتُلوا، أو يأخُذوا العَقْل».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