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حكم ولي القتيل في القصاص والعفو-كتاب  الديات-سنن الترمذي — رقم الحديث: 1406 — الرقم الفرعي: 99 — الرقم الأصلي: 1406</w:t>
        <w:br/>
      </w:r>
      <w:r>
        <w:rPr>
          <w:rtl w:val="1"/>
        </w:rPr>
        <w:t xml:space="preserve"> حدثنا محمد بن بشار حدثنا يحيى بن سعيد حدثنا ابن أبي ذئب حدثني سعيد بن أبي سعيد المقبُريّ عن أبي شُريح الكعبيّ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اللهَ حرَّم مَكةَ ولم يُحرِّمْها الناسُ،  </w:t>
      </w:r>
      <w:r>
        <w:rPr>
          <w:color w:val="FF0000"/>
          <w:rtl w:val="1"/>
        </w:rPr>
        <w:t xml:space="preserve">مَن كان يُؤمِنُ بالله واليومِ الآخِر فلا يَسفِكَنَّ فيها دمًا، ولا يَعضِدَنَّ فيها شجرًا،  </w:t>
      </w:r>
      <w:r>
        <w:rPr>
          <w:color w:val="FF0000"/>
          <w:rtl w:val="1"/>
        </w:rPr>
        <w:t xml:space="preserve">فإن ترخَّصَ مُتَرخِّصٌ، فقال: أُحلَّت لرسولِ الله ﷺ، فإنَّ اللهَ أحلَّها لي، ولم يُحلَّها للناس، وإنَّما أُحلَّت لي ساعةً مِن نَهار،  </w:t>
      </w:r>
      <w:r>
        <w:rPr>
          <w:color w:val="FF0000"/>
          <w:rtl w:val="1"/>
        </w:rPr>
        <w:t xml:space="preserve">ثمّ هي حَرامٌ إلى يومِ القِيامة،  </w:t>
      </w:r>
      <w:r>
        <w:rPr>
          <w:color w:val="FF0000"/>
          <w:rtl w:val="1"/>
        </w:rPr>
        <w:t xml:space="preserve">ثمَّ إنَّكم مَعشَرَ خُزاعة قَتَلتُم هذا الرَّجلَ من هُذيل وإني عاقِلُه،  </w:t>
      </w:r>
      <w:r>
        <w:rPr>
          <w:color w:val="FF0000"/>
          <w:rtl w:val="1"/>
        </w:rPr>
        <w:t xml:space="preserve">فمَن قُتِل له قَتيلٌ بعدَ اليوم، فأهلُه بين خِيرَتَين، إمّا أن يَقتلوا، أو يَأخُذوا العَقْل». </w:t>
      </w:r>
      <w:r>
        <w:rPr>
          <w:color w:val="000000"/>
          <w:rtl w:val="1"/>
        </w:rPr>
        <w:t xml:space="preserve">هذا حديثٌ حسنٌ صحيح.  </w:t>
      </w:r>
      <w:r>
        <w:rPr>
          <w:color w:val="000000"/>
          <w:rtl w:val="1"/>
        </w:rPr>
        <w:t xml:space="preserve">وحديثُ أبي هُرَيرةَ حديثٌ حسنٌ صحيح.  </w:t>
      </w:r>
      <w:r>
        <w:rPr>
          <w:color w:val="000000"/>
          <w:rtl w:val="1"/>
        </w:rPr>
        <w:t xml:space="preserve">ورواه شَيبانُ أيضًا، عن يحيى بن أَبي كَثير مثلَ هذا.  </w:t>
      </w:r>
      <w:r>
        <w:rPr>
          <w:color w:val="000000"/>
          <w:rtl w:val="1"/>
        </w:rPr>
        <w:t xml:space="preserve">ورُوي عن أبي شُريحٍ الخُزاعي، عن النّبيِّ ﷺ قال: «مَن قُتل له قَتيلٌ فلَه أن يَقتُلَ، أو يَعفُو، أو يأخُذَ الدِّيَة».  </w:t>
      </w:r>
      <w:r>
        <w:rPr>
          <w:color w:val="000000"/>
          <w:rtl w:val="1"/>
        </w:rPr>
        <w:t xml:space="preserve">وذهب إلى هذا بعضُ أهلِ العِلم، وهو قولُ أحمدَ، وإسحاق.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سابعاً: فعل الطاعة واجتناب المعصية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خطبة النبي صلى الله عليه وسلم بعد الفتح - فتح مكة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