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عيادة النساء-أول كتاب الجنائز-سنن أبي داود — رقم الحديث: 3092 — الرقم الفرعي: 99 — الرقم الأصلي: 3092</w:t>
        <w:br/>
      </w:r>
      <w:r>
        <w:rPr>
          <w:rtl w:val="1"/>
        </w:rPr>
        <w:t xml:space="preserve"> حدثنا سهل بن بكار عن أبي عَوانة عن عبد الملك بن عمير عن أم العلاء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عادَني رسولُ اللهِ ﷺ وأنا مَريضةٌ،  </w:t>
      </w:r>
      <w:r>
        <w:rPr>
          <w:color w:val="FF0000"/>
          <w:rtl w:val="1"/>
        </w:rPr>
        <w:t xml:space="preserve">فقال: «أَبشِري يا أُمَّ العلاء، فإنَّ مَرَضَ المُسلمِ يُذهِبُ اللهُ به خَطاياهُ كما تُذهِبُ النارُ خَبَثَ الذَّهَبِ والفِضَّة».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قيمة مواساة المريض وسؤاله عن حالِه وتبشيره والثّناء عليه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