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قال في الخطبة بعد الثناء أمّا بعد-كتاب الصلاة-صحيح البخاري — رقم الحديث: 927 — الرقم الفرعي: 99 — الرقم الأصلي: 927</w:t>
        <w:br/>
      </w:r>
      <w:r>
        <w:rPr>
          <w:rtl w:val="1"/>
        </w:rPr>
        <w:t xml:space="preserve"> حدثنا إسماعيل بن أبان قال:حدثنا ابن الغسيل قال:حدثنا عكرمة عن ابن عباس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صَعِدَ النبيُّ ﷺ المِنبَر، وكان آخرَ مَجلِسٍ جَلَسَه، مُتعَطِّفًا مِلْحَفةً على مَنكِبَيه، قد عَصَبَ رأسَه بعِصابةٍ دَسِمةٍ،  </w:t>
      </w:r>
      <w:r>
        <w:rPr>
          <w:color w:val="FF0000"/>
          <w:rtl w:val="1"/>
        </w:rPr>
        <w:t xml:space="preserve">فحَمِدَ اللهَ وأثنَى عليه  </w:t>
      </w:r>
      <w:r>
        <w:rPr>
          <w:color w:val="FF0000"/>
          <w:rtl w:val="1"/>
        </w:rPr>
        <w:t xml:space="preserve">ثمَّ قال: «أيُّها النّاسُ، إليَّ» فثَابُوا إليه،  </w:t>
      </w:r>
      <w:r>
        <w:rPr>
          <w:color w:val="FF0000"/>
          <w:rtl w:val="1"/>
        </w:rPr>
        <w:t xml:space="preserve">ثمَّ قال: «أمَّا بعدُ، فإنَّ هذا الحيَّ منَ الأنصارِ يَقِلُّونَ ويَكثُرُ النّاسُ،  </w:t>
      </w:r>
      <w:r>
        <w:rPr>
          <w:color w:val="FF0000"/>
          <w:rtl w:val="1"/>
        </w:rPr>
        <w:t xml:space="preserve">فمَن وَلِيَ شيئًا من أُمّةِ محمَّدٍ ﷺ فاستَطاعَ أنْ يَضُرَّ فيه أحدًا أو يَنفَعَ فيه أحدًا، فلْيَقبَلْ من مُحسِنِهم، ويَتَجاوَزْ عن مُسِيئِهم». 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العفو والصفح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المسؤولية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بداية الشعور بالمرض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وصايا النبي صلى الله عليه وسلم في مرضه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قيمة مسؤولية الحاكم في مراعاة أحوال الناس - قيم المسؤولية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العفو - الجناية على الأعضاء عمداً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