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الترمذي — باب ما جاء إذا جاءكم من ترضون دينه فزوّجوه-كتاب النكاح-سنن الترمذي — رقم الحديث: 1085 — الرقم الفرعي: 99 — الرقم الأصلي: 1085</w:t>
        <w:br/>
      </w:r>
      <w:r>
        <w:rPr>
          <w:rtl w:val="1"/>
        </w:rPr>
        <w:t xml:space="preserve"> حدثنا محمد بن عمرو السوّاق البلخيّ حدثنا حاتم بن إسماعيل عن عبد الله بن مسلم بن هرمز عن محمد و سعيد ملاحظة ابني عبيد عن أبي حاتم المُزنيّ قال:قال رسول الله صلى الله عليه وسلم</w:t>
        <w:br/>
      </w:r>
      <w:r>
        <w:rPr>
          <w:color w:val="FF0000"/>
          <w:rtl w:val="1"/>
        </w:rPr>
        <w:t xml:space="preserve">«إِذا جاءَكُم مَن تَرضَونَ دِينَه وخُلُقَه فأَنكِحوهُ، إِلَّا تَفعَلوا تَكُن فِتنَةٌ في الأَرضِ وفَسادٌ»،  </w:t>
      </w:r>
      <w:r>
        <w:rPr>
          <w:color w:val="FF0000"/>
          <w:rtl w:val="1"/>
        </w:rPr>
        <w:t xml:space="preserve">قالوا: يا رَسولَ اللَّهِ، وإن كان فيه؟  </w:t>
      </w:r>
      <w:r>
        <w:rPr>
          <w:color w:val="FF0000"/>
          <w:rtl w:val="1"/>
        </w:rPr>
        <w:t xml:space="preserve">قال: «إِذا جاءَكُم مَن تَرضَونَ دِينَه وخُلُقَه فأَنكِحوه»، ثَلاثَ مَرَّاتٍ. </w:t>
      </w:r>
      <w:r>
        <w:rPr>
          <w:color w:val="000000"/>
          <w:rtl w:val="1"/>
        </w:rPr>
        <w:t xml:space="preserve">هذا حَديثٌ حَسَنٌ غَريبٌ.  </w:t>
      </w:r>
      <w:r>
        <w:rPr>
          <w:color w:val="000000"/>
          <w:rtl w:val="1"/>
        </w:rPr>
        <w:t xml:space="preserve">وأَبو حَاتمٍ المُزَنِيُّ له صُحبَةٌ، ولا نَعرِفُ له عنِ النَّبِيِّ ﷺ غَيرَ هذا الحديث. </w:t>
      </w:r>
    </w:p>
    <w:p>
      <w:pPr>
        <w:bidi w:val="1"/>
        <w:jc w:val="start"/>
      </w:pPr>
      <w:r>
        <w:rPr>
          <w:rtl w:val="1"/>
        </w:rPr>
        <w:t>درجة الحديث: حسن لغيره</w:t>
      </w:r>
    </w:p>
    <w:p>
      <w:pPr>
        <w:bidi w:val="1"/>
        <w:jc w:val="start"/>
      </w:pPr>
      <w:r>
        <w:rPr>
          <w:rtl w:val="1"/>
        </w:rPr>
        <w:t>الشرح: الدلالة: الإحصان والإعفاف - مقاصد الزواج</w:t>
      </w:r>
    </w:p>
    <w:p>
      <w:pPr>
        <w:bidi w:val="1"/>
        <w:jc w:val="start"/>
      </w:pPr>
      <w:r>
        <w:rPr>
          <w:rtl w:val="1"/>
        </w:rPr>
        <w:t>الشرح: الدلالة: الترابط الاجتماعي - مقاصد الزواج</w:t>
      </w:r>
    </w:p>
    <w:p>
      <w:pPr>
        <w:bidi w:val="1"/>
        <w:jc w:val="start"/>
      </w:pPr>
      <w:r>
        <w:rPr>
          <w:rtl w:val="1"/>
        </w:rPr>
        <w:t>الشرح: الدلالة: تكوين الأسرة الصالحة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الترغيب في الزواج والنهي عن التبتل - الحث على الزواج</w:t>
      </w:r>
    </w:p>
    <w:p>
      <w:pPr>
        <w:bidi w:val="1"/>
        <w:jc w:val="start"/>
      </w:pPr>
      <w:r>
        <w:rPr>
          <w:rtl w:val="1"/>
        </w:rPr>
        <w:t>الشرح: الدلالة: العون على الزواج - الحث على الزواج</w:t>
      </w:r>
    </w:p>
    <w:p>
      <w:pPr>
        <w:bidi w:val="1"/>
        <w:jc w:val="start"/>
      </w:pPr>
      <w:r>
        <w:rPr>
          <w:rtl w:val="1"/>
        </w:rPr>
        <w:t>الشرح: الدلالة: الدين والخلق - اختيار الأزواج</w:t>
      </w:r>
    </w:p>
    <w:p>
      <w:pPr>
        <w:bidi w:val="1"/>
        <w:jc w:val="start"/>
      </w:pPr>
      <w:r>
        <w:rPr>
          <w:rtl w:val="1"/>
        </w:rPr>
        <w:t>الشرح: الدلالة: عدم رد الكفء - الكفاءة في عقد الزواج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