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رأى عليه كفارة إذا كان في معصية.-كتاب الإيمان والنذور-سنن أبي داود — رقم الحديث: 3293 — الرقم الفرعي: 99 — الرقم الأصلي: 3293</w:t>
        <w:br/>
      </w:r>
      <w:r>
        <w:rPr>
          <w:rtl w:val="1"/>
        </w:rPr>
        <w:t xml:space="preserve"> حدثنا مُسدّد ثنا يحيى بن سعيد القطان قال:أخبرني يحيى بن سعيد الأنصاريّ أخبرني عبيدالله بن زَحْر أنّ أبا سعيد أخبره أن عبد الله بن مالك أخبره أن عقبة بن عامر</w:t>
        <w:br/>
      </w:r>
      <w:r>
        <w:rPr>
          <w:color w:val="FF0000"/>
          <w:rtl w:val="1"/>
        </w:rPr>
        <w:t xml:space="preserve">أخبره: أنه سأل النبيَّ ﷺ عن أختٍ له نذرت أن تحج حافيةً غير مُخْتَمِرةٍ، فقال:  </w:t>
      </w:r>
      <w:r>
        <w:rPr>
          <w:color w:val="FF0000"/>
          <w:rtl w:val="1"/>
        </w:rPr>
        <w:t xml:space="preserve">«مُرُوها فلتَخْتمِرْ ولتَركَبْ، ولتَصُمْ ثلاثةَ أيام».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الضرر يزال</w:t>
      </w:r>
    </w:p>
    <w:p>
      <w:pPr>
        <w:bidi w:val="1"/>
        <w:jc w:val="start"/>
      </w:pPr>
      <w:r>
        <w:rPr>
          <w:rtl w:val="1"/>
        </w:rPr>
        <w:t>الشرح: الدلالة: لا ضرر ولا ضرار - الضرر يزال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كفارة النذر - النذور</w:t>
      </w:r>
    </w:p>
    <w:p>
      <w:pPr>
        <w:bidi w:val="1"/>
        <w:jc w:val="start"/>
      </w:pPr>
      <w:r>
        <w:rPr>
          <w:rtl w:val="1"/>
        </w:rPr>
        <w:t>الشرح: الدلالة: الخمار - أسماء الملابس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نذر المعصية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