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القود من الضربة ،وقَصّ الأمير من نفسه-كتاب الديات-سنن أبي داود — رقم الحديث: 4537 — الرقم الفرعي: 99 — الرقم الأصلي: 4537</w:t>
        <w:br/>
      </w:r>
      <w:r>
        <w:rPr>
          <w:rtl w:val="1"/>
        </w:rPr>
        <w:t xml:space="preserve"> حدثنا أبو صالح أخبرنا أبو إسحاق الفزاريّ عن الجُريريّ عن أبي نضرة عن أبي فراس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خطَبَنَا عمرُ بنُ الخطابِ، فقال: إني لم أَبعَث عُمَّالي لِيضرِبُوا أبشارَكم ولا ليأخُذُوا أموالَكم،  </w:t>
      </w:r>
      <w:r>
        <w:rPr>
          <w:color w:val="FF0000"/>
          <w:rtl w:val="1"/>
        </w:rPr>
        <w:t xml:space="preserve">[ولكنْ بَعثُتُهم لِيُعلِّمُوكُم دِينَكُم وسُنَّتَكُم](1)،  </w:t>
      </w:r>
      <w:r>
        <w:rPr>
          <w:color w:val="FF0000"/>
          <w:rtl w:val="1"/>
        </w:rPr>
        <w:t xml:space="preserve">فمَن فُعِلَ به غيرُ ذلك فليرفَعْهُ إليَّ أُقِصُّه منه،  </w:t>
      </w:r>
      <w:r>
        <w:rPr>
          <w:color w:val="FF0000"/>
          <w:rtl w:val="1"/>
        </w:rPr>
        <w:t xml:space="preserve">قال عَمرو بنُ العاص: لو أنَّ رجلًا أدَّب بعضَ رعيَّته أتُقِصُّه منه؟  </w:t>
      </w:r>
      <w:r>
        <w:rPr>
          <w:color w:val="FF0000"/>
          <w:rtl w:val="1"/>
        </w:rPr>
        <w:t xml:space="preserve">قال: إي، والذي نفسِي بيدِه، ألا أُقِصُّه وقد رأيتُ رسولَ الله ﷺ أقصَّ مِن نفسِه.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عدل عمر، رضي الله عنه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مسؤولية الحكام عن المواطنين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 تحريم مال الغير - قيم المحافظة على المال الخاص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