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الاستعانة بالنّجّار والصنّاع في أعواد المنبر والمسجد-كتاب الصلاة-صحيح البخاري — رقم الحديث: 448 — الرقم الفرعي: 99 — الرقم الأصلي: 448</w:t>
        <w:br/>
      </w:r>
      <w:r>
        <w:rPr>
          <w:rtl w:val="1"/>
        </w:rPr>
        <w:t xml:space="preserve"> حدثنا قتيبة قال:حدثنا عبد العزيز عن أبي حازم عن سهل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رسولُ الله ﷺ إلى امرأةٍ: «مُرِي غلامَكِ النَّجّارَ يَعْمَلْ لي أعوادًا أجلِسُ عليهِنَّ». </w:t>
      </w:r>
    </w:p>
    <w:p>
      <w:pPr>
        <w:bidi w:val="1"/>
        <w:jc w:val="start"/>
      </w:pPr>
      <w:r>
        <w:rPr>
          <w:rtl w:val="1"/>
        </w:rPr>
        <w:t>الشرح: الدلالة: مشروعية الاستصناع وأحكامه - الاستصناع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