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وقت الوتر-كتاب الصلاة-سنن أبي داود — رقم الحديث: 1437 — الرقم الفرعي: 99 — الرقم الأصلي: 1437</w:t>
        <w:br/>
      </w:r>
      <w:r>
        <w:rPr>
          <w:rtl w:val="1"/>
        </w:rPr>
        <w:t xml:space="preserve"> حدثنا قتيبة بن سعيد ثنا الليث بن سعد عن معاوية بن صالح عن عبد الله بن أبي قيس</w:t>
        <w:br/>
      </w:r>
      <w:r>
        <w:rPr>
          <w:color w:val="000000"/>
          <w:rtl w:val="1"/>
        </w:rPr>
        <w:t xml:space="preserve">قال: </w:t>
      </w:r>
      <w:r>
        <w:rPr>
          <w:color w:val="000000"/>
          <w:rtl w:val="1"/>
        </w:rPr>
        <w:t xml:space="preserve">سألتُ عائشةَ عن وِترِ رَسولِ الله ﷺ؟  </w:t>
      </w:r>
      <w:r>
        <w:rPr>
          <w:color w:val="FF0000"/>
          <w:rtl w:val="1"/>
        </w:rPr>
        <w:t xml:space="preserve">قالت: ربَّما أَوترَ أوَّلَ اللَّيل، وربَّما أَوترَ مِن آخِرِه،  </w:t>
      </w:r>
      <w:r>
        <w:rPr>
          <w:color w:val="000000"/>
          <w:rtl w:val="1"/>
        </w:rPr>
        <w:t xml:space="preserve">قلت: كيفَ كانت قراءتُه؟ أكان يُسِرُّ بالقِراءةِ أم يَجْهَرُ؟  </w:t>
      </w:r>
      <w:r>
        <w:rPr>
          <w:color w:val="000000"/>
          <w:rtl w:val="1"/>
        </w:rPr>
        <w:t xml:space="preserve">قالت: كُلَّ ذلك كان يَفْعَلُ، ربما أسرَّ، وربما جَهَر،  </w:t>
      </w:r>
      <w:r>
        <w:rPr>
          <w:color w:val="000000"/>
          <w:rtl w:val="1"/>
        </w:rPr>
        <w:t xml:space="preserve">وربَّما اغتَسلَ فنامَ، وربّما تَوضّأَ فنام. </w:t>
      </w:r>
      <w:r>
        <w:rPr>
          <w:color w:val="000000"/>
          <w:rtl w:val="1"/>
        </w:rPr>
        <w:t xml:space="preserve">قال أبو داود: قال غير قتيبةَ: تعني في الجنابة.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وقت الوتر - صلاة الوتر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