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النار يدخلها الجبارون،والجنة يدخلها الضعفاء-كتاب الجنة،وصفة نعيمها وأهلها-صحيح مسلم — رقم الحديث: 2857 — الرقم الفرعي: 1 — الرقم الأصلي: 2857</w:t>
        <w:br/>
      </w:r>
      <w:r>
        <w:rPr>
          <w:rtl w:val="1"/>
        </w:rPr>
        <w:t xml:space="preserve"> حدثنا ابن نُمَير حدثنا زيد ملاحظة يعني ابن حُبَاب حدثنا أفلح بن سعيد حدثنا عبد الله بن رافع ملاحظة مولى أمّ سلمة قال:سمعت أبا هريرة يقول:قال رسول الله صلى الله عليه وسلم</w:t>
        <w:br/>
      </w:r>
      <w:r>
        <w:rPr>
          <w:color w:val="FF0000"/>
          <w:rtl w:val="1"/>
        </w:rPr>
        <w:t xml:space="preserve">«يوشِكُ إنْ طالت بك مُدةٌ، أنْ تَرى قومًا في أَيديهِم مثلُ أَذنابِ البَقَر يَغدُون في غضَبِ الله، ويَروحونَ في سَخَط الله».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الرابع: ظهور الظلم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