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الهدي في الكلام-كتاب الأدب-سنن أبي داود — رقم الحديث: 4840 — الرقم الفرعي: 99 — الرقم الأصلي: 4840</w:t>
        <w:br/>
      </w:r>
      <w:r>
        <w:rPr>
          <w:rtl w:val="1"/>
        </w:rPr>
        <w:t xml:space="preserve"> حدثنا أبو توبة قال:زعم الوليد عن الأوزاعيّ عن قرة عن الزهريّ عن أبي سلمة عن أبي هريرة قال:قال رسول الله صلى الله عليه وسلم</w:t>
        <w:br/>
      </w:r>
      <w:r>
        <w:rPr>
          <w:color w:val="FF0000"/>
          <w:rtl w:val="1"/>
        </w:rPr>
        <w:t xml:space="preserve">: «كلُّ كلامِ لا يُبدَأُ فيهِ بالحمدُ لله فهو أجذَمُ». </w:t>
      </w:r>
      <w:r>
        <w:rPr>
          <w:color w:val="000000"/>
          <w:rtl w:val="1"/>
        </w:rPr>
        <w:t xml:space="preserve">قال أبو داود: رواه يونسُ وعُقيلٌ وشُعيبٌ وسعيدُ بن عبد العزيز، عن الزهري، عن النبيَّ ﷺ مرسلاً. </w:t>
      </w:r>
      <w:r>
        <w:rPr>
          <w:color w:val="000000"/>
          <w:rtl w:val="1"/>
        </w:rPr>
        <w:t xml:space="preserve">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وسائل الإعلام (الخطباء والقراء والشعراء والقصاصون ...)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الدعوة إلى الله تعالى وإعلاء كلمته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المرسل - أوصاف السند من حيث الاتصال والانقطاع</w:t>
      </w:r>
    </w:p>
    <w:p>
      <w:pPr>
        <w:bidi w:val="1"/>
        <w:jc w:val="start"/>
      </w:pPr>
      <w:r>
        <w:rPr>
          <w:rtl w:val="1"/>
        </w:rPr>
        <w:t>الشرح: الدلالة: كيفية الخِطبة وآدابها - الخِطبة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التعليم بالقصة والمثل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أذكار الخطبة و أدعيتها - الأذكار للزواج و أدعيته</w:t>
      </w:r>
    </w:p>
    <w:p>
      <w:pPr>
        <w:bidi w:val="1"/>
        <w:jc w:val="start"/>
      </w:pPr>
      <w:r>
        <w:rPr>
          <w:rtl w:val="1"/>
        </w:rPr>
        <w:t>الشرح: الدلالة: فضل التسبيح والتحميد - فضل أذكار مخصوصة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