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موطأ مالك — رقم الحديث: 210 — الرقم الفرعي: 99 — الرقم الأصلي: 171</w:t>
        <w:br/>
      </w:r>
      <w:r>
        <w:rPr>
          <w:rtl w:val="1"/>
        </w:rPr>
        <w:t xml:space="preserve"> وحدثني عن مالك عن نافع أنّ عبدالله بن عمر</w:t>
        <w:br/>
      </w:r>
      <w:r>
        <w:rPr>
          <w:color w:val="FF0000"/>
          <w:rtl w:val="1"/>
        </w:rPr>
        <w:t xml:space="preserve">أنَّ عبدَ الله بنَ عُمرَ كان إذا صلَّى وحدَه، يَقرأُ في الأَربعِ جميعًا، في كلِّ رَكعةٍ بأُمِّ القُرآنِ وسُورةٍ مِن القُرآن،  </w:t>
      </w:r>
      <w:r>
        <w:rPr>
          <w:color w:val="FF0000"/>
          <w:rtl w:val="1"/>
        </w:rPr>
        <w:t xml:space="preserve">وكان يَقرأُ أَحيانًا بالسُّورتَينِ والثّلاثِ في الرَّكعةِ الواحدةِ مِن صلاةِ الفَريضة،  </w:t>
      </w:r>
      <w:r>
        <w:rPr>
          <w:color w:val="FF0000"/>
          <w:rtl w:val="1"/>
        </w:rPr>
        <w:t xml:space="preserve">ويَقرأُ في الرَّكعتَينِ مِن المَغربِ كذلك بأُمِّ القُرآنِ وسُورةٍ سُورة. </w:t>
      </w:r>
    </w:p>
    <w:p>
      <w:pPr>
        <w:bidi w:val="1"/>
        <w:jc w:val="start"/>
      </w:pPr>
      <w:r>
        <w:rPr>
          <w:rtl w:val="1"/>
        </w:rPr>
        <w:t>الشرح: الدلالة: قراءة غير الفاتحة ومقدار ذلك - القراءة في الصلاة</w:t>
      </w:r>
    </w:p>
    <w:p>
      <w:pPr>
        <w:bidi w:val="1"/>
        <w:jc w:val="start"/>
      </w:pPr>
      <w:r>
        <w:rPr>
          <w:rtl w:val="1"/>
        </w:rPr>
        <w:t>الشرح: الدلالة: وجوب قراءة الفاتحة في الصلاة - قراءة الفاتحة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