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المسح-كتاب الطهارة-سنن أبي داود — رقم الحديث: 162 — الرقم الفرعي: 99 — الرقم الأصلي: 162</w:t>
        <w:br/>
      </w:r>
      <w:r>
        <w:rPr>
          <w:rtl w:val="1"/>
        </w:rPr>
        <w:t xml:space="preserve"> حدثنا محمد بن العلاء ثنا حفص ملاحظة يعني ابن غياث عن الأعمش عن أبي إسحاق عن عبد خير عن عليّ رضي الله عنه</w:t>
        <w:br/>
      </w:r>
      <w:r>
        <w:rPr>
          <w:color w:val="FF0000"/>
          <w:rtl w:val="1"/>
        </w:rPr>
        <w:t xml:space="preserve">قال: لو كانَ الدينُ بالرَّأي لكانَ أسفَلُ الخُفِّ أولى بالمَسحِ مِن أعلاه، وقد رأيتُ رسولَ الله ﷺ يَمسَحُ على ظاهِرِ خُفَّيهِ.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كيفية المسح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القرآن - مصادر الدستور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