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4852 — الرقم الفرعي: 99 — الرقم الأصلي: 4852</w:t>
        <w:br/>
      </w:r>
      <w:r>
        <w:rPr>
          <w:rtl w:val="1"/>
        </w:rPr>
        <w:t xml:space="preserve"> حدثنا آدم حدثنا وَرقاء عن ابن أبي نَجيح عن مجاهد قال: قال ابن عباس</w:t>
        <w:br/>
      </w:r>
      <w:r>
        <w:rPr>
          <w:color w:val="FF0000"/>
          <w:rtl w:val="1"/>
        </w:rPr>
        <w:t xml:space="preserve">أمَرَه أنْ يُسَبِّحَ في أدبارِ الصلَواتِ كلِّها. </w:t>
      </w:r>
      <w:r>
        <w:rPr>
          <w:color w:val="FF0000"/>
          <w:rtl w:val="1"/>
        </w:rPr>
        <w:t xml:space="preserve">يعني قولَه: (وَإدْبارَ السُّجُودِ) [ق:40].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الذكر والدعاء بعد الصلاة - السلام وختم الصلاة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الأذكار والدعاء بعد الصلاة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