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وسلم:لو استقبلتُ من أمري-كتاب التّمنّي-صحيح البخاري — رقم الحديث: 7229 — الرقم الفرعي: 99 — الرقم الأصلي: 7229</w:t>
        <w:br/>
      </w:r>
      <w:r>
        <w:rPr>
          <w:rtl w:val="1"/>
        </w:rPr>
        <w:t xml:space="preserve"> حدثنا يحيى بن بُكير حدثنا الليث عن عُقيل عن ابن شهاب حدثني عُروة أنّ عائشة</w:t>
        <w:br/>
      </w:r>
      <w:r>
        <w:rPr>
          <w:color w:val="FF0000"/>
          <w:rtl w:val="1"/>
        </w:rPr>
        <w:t xml:space="preserve">قالت: قال رسولُ الله ﷺ: «لَوِ استَقبَلْتُ من أمري ما استَدْبَرْتُ، ما سُقْتُ الهَدْيَ، ولَحَلَلْتُ مع النّاس حينَ حَلُّوا».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نية الإفراد أو القِران أو التمتع - النية والإحرام للحج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