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الخَلوق للرجال-كتاب الترجل-سنن أبي داود — رقم الحديث: 4176 — الرقم الفرعي: 99 — الرقم الأصلي: 4176</w:t>
        <w:br/>
      </w:r>
      <w:r>
        <w:rPr>
          <w:rtl w:val="1"/>
        </w:rPr>
        <w:t xml:space="preserve"> حدثنا موسى بن إسماعيل ثنا حماد أخبرنا عطاء الخراسانيّ عن يحيى بن يَعْمر عن عمار بن ياسر</w:t>
        <w:br/>
      </w:r>
      <w:r>
        <w:rPr>
          <w:color w:val="000000"/>
          <w:rtl w:val="1"/>
        </w:rPr>
        <w:t xml:space="preserve">قال: قدِمتُ على أهلي ليلًا وقد تَشقَّقتْ يدايَ،  </w:t>
      </w:r>
      <w:r>
        <w:rPr>
          <w:color w:val="000000"/>
          <w:rtl w:val="1"/>
        </w:rPr>
        <w:t xml:space="preserve">فخَلَّقُوني بزَعْفَران،  </w:t>
      </w:r>
      <w:r>
        <w:rPr>
          <w:color w:val="FF0000"/>
          <w:rtl w:val="1"/>
        </w:rPr>
        <w:t xml:space="preserve">فغَدَوتُ على النبيِّ ﷺ، فسلَّمتُ عليه، فلم يرُدَّ عليَّ، ولم يُرحِّب بي،  </w:t>
      </w:r>
      <w:r>
        <w:rPr>
          <w:color w:val="FF0000"/>
          <w:rtl w:val="1"/>
        </w:rPr>
        <w:t xml:space="preserve">وقال: «اذهبْ فاغسِل هذا عنك»،  </w:t>
      </w:r>
      <w:r>
        <w:rPr>
          <w:color w:val="FF0000"/>
          <w:rtl w:val="1"/>
        </w:rPr>
        <w:t xml:space="preserve">فذهبتُ فغَسلتُه، ثم جِئتُ وقد بقي عليَّ منه رَدْغٌ،  </w:t>
      </w:r>
      <w:r>
        <w:rPr>
          <w:color w:val="FF0000"/>
          <w:rtl w:val="1"/>
        </w:rPr>
        <w:t xml:space="preserve">فسلَّمتُ فلم يَرُدَّ عليَّ، ولم يُرحِّب بي،  </w:t>
      </w:r>
      <w:r>
        <w:rPr>
          <w:color w:val="FF0000"/>
          <w:rtl w:val="1"/>
        </w:rPr>
        <w:t xml:space="preserve">وقال: «اذهبْ فاغسِل هذا عنك»،  </w:t>
      </w:r>
      <w:r>
        <w:rPr>
          <w:color w:val="000000"/>
          <w:rtl w:val="1"/>
        </w:rPr>
        <w:t xml:space="preserve">فذهبتُ فغَسَلتُه، ثم جئتُ فسلَّمتُ عليه، فرَدَّ عليَّ، ورَحّبَ بي،  </w:t>
      </w:r>
      <w:r>
        <w:rPr>
          <w:color w:val="FF0000"/>
          <w:rtl w:val="1"/>
        </w:rPr>
        <w:t xml:space="preserve">وقال: «إنَّ الملائكةَ لا تَحضُر جِنازةَ الكلافِرِ بخير،  </w:t>
      </w:r>
      <w:r>
        <w:rPr>
          <w:color w:val="FF0000"/>
          <w:rtl w:val="1"/>
        </w:rPr>
        <w:t xml:space="preserve">ولا المُتضمِّخ بالزَّعفران،  </w:t>
      </w:r>
      <w:r>
        <w:rPr>
          <w:color w:val="FF0000"/>
          <w:rtl w:val="1"/>
        </w:rPr>
        <w:t xml:space="preserve">ولا الجُنُب».  </w:t>
      </w:r>
      <w:r>
        <w:rPr>
          <w:color w:val="FF0000"/>
          <w:rtl w:val="1"/>
        </w:rPr>
        <w:t xml:space="preserve">ورَخَّص للجُنُب، إذا نامَ أو أكَلَ أو شَرِبَ أن يتوضأ.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الأماكن التي لا تدخلها الملائكة والرفقة التي لا تصحبها - أماكن وجود الملائكة ودرجاتهم</w:t>
      </w:r>
    </w:p>
    <w:p>
      <w:pPr>
        <w:bidi w:val="1"/>
        <w:jc w:val="start"/>
      </w:pPr>
      <w:r>
        <w:rPr>
          <w:rtl w:val="1"/>
        </w:rPr>
        <w:t>الشرح: الدلالة: الوضوء - ما يستحب للجنب</w:t>
      </w:r>
    </w:p>
    <w:p>
      <w:pPr>
        <w:bidi w:val="1"/>
        <w:jc w:val="start"/>
      </w:pPr>
      <w:r>
        <w:rPr>
          <w:rtl w:val="1"/>
        </w:rPr>
        <w:t>الشرح: الدلالة: الوضوء للجنب وقبل الاغتسال - ما يشرع له الوضوء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النوم قبل الاغتسال - ما يباح للجنب</w:t>
      </w:r>
    </w:p>
    <w:p>
      <w:pPr>
        <w:bidi w:val="1"/>
        <w:jc w:val="start"/>
      </w:pPr>
      <w:r>
        <w:rPr>
          <w:rtl w:val="1"/>
        </w:rPr>
        <w:t>الشرح: الدلالة: الأكل والشرب - ما يباح للجنب</w:t>
      </w:r>
    </w:p>
    <w:p>
      <w:pPr>
        <w:bidi w:val="1"/>
        <w:jc w:val="start"/>
      </w:pPr>
      <w:r>
        <w:rPr>
          <w:rtl w:val="1"/>
        </w:rPr>
        <w:t xml:space="preserve">الشرح: الدلالة: غضبه ﷺ إذا رأى منكرًا - غضب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