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الحكم باتّفاق أهل العلم-كتاب آداب القضاة-سنن النسائي — رقم الحديث: 5397 — الرقم الفرعي: 99 — الرقم الأصلي: 5397</w:t>
        <w:br/>
      </w:r>
      <w:r>
        <w:rPr>
          <w:rtl w:val="1"/>
        </w:rPr>
        <w:t xml:space="preserve"> أخبرنا محمد بن العلاء قال:حدثنا أبو معاوية عن الأعمش عن عُمارة ملاحظة هو ابن عمير عن عبد الرحمن بن يزيد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أكثَرُوا على عبدِ الله ذاتَ يومٍ  </w:t>
      </w:r>
      <w:r>
        <w:rPr>
          <w:color w:val="FF0000"/>
          <w:rtl w:val="1"/>
        </w:rPr>
        <w:t xml:space="preserve">فقالَ عبدُ الله، رضي الله عنه: إنّه قد أتَى علينا زَمانٌ ولسْنا نَقضِي، ولسْنا هُنالك.  </w:t>
      </w:r>
      <w:r>
        <w:rPr>
          <w:color w:val="FF0000"/>
          <w:rtl w:val="1"/>
        </w:rPr>
        <w:t xml:space="preserve">ثم إنّ اللهَ عزّ وجلّ قَدَّرَ علينا أنْ بَلَغْنا ما تَرَوْن،  </w:t>
      </w:r>
      <w:r>
        <w:rPr>
          <w:color w:val="FF0000"/>
          <w:rtl w:val="1"/>
        </w:rPr>
        <w:t xml:space="preserve">فمَن عَرَضَ له مِنكُم قضاءٌ بعدَ اليوم، فلْيَقْضِ بما في كِتاب الله،  </w:t>
      </w:r>
      <w:r>
        <w:rPr>
          <w:color w:val="FF0000"/>
          <w:rtl w:val="1"/>
        </w:rPr>
        <w:t xml:space="preserve">فإنْ جاء أمْرٌ ليسَ في كتابِ الله، فلْيَقْضِ بما قَضَى به نبيُّه ﷺ،  </w:t>
      </w:r>
      <w:r>
        <w:rPr>
          <w:color w:val="FF0000"/>
          <w:rtl w:val="1"/>
        </w:rPr>
        <w:t xml:space="preserve">فإنْ جاءَ أمْرٌ ليسَ في كتابِ الله، ولا قَضَى به نبيُّه ﷺ، فلْيَقْضِ بما قَضَى به الصّالِحونَ،  </w:t>
      </w:r>
      <w:r>
        <w:rPr>
          <w:color w:val="FF0000"/>
          <w:rtl w:val="1"/>
        </w:rPr>
        <w:t xml:space="preserve">فإنْ جاء أمْرٌ ليسَ في كتابِ الله، ولا قَضَى به نبيُّه ﷺ، ولا قَضَى به الصَّالحونَ، فلْيَجتَهِدْ رأيَه،  </w:t>
      </w:r>
      <w:r>
        <w:rPr>
          <w:color w:val="FF0000"/>
          <w:rtl w:val="1"/>
        </w:rPr>
        <w:t xml:space="preserve">ولا يقول: إنِّي أخافُ وإنِّي أخافُ،  </w:t>
      </w:r>
      <w:r>
        <w:rPr>
          <w:color w:val="FF0000"/>
          <w:rtl w:val="1"/>
        </w:rPr>
        <w:t xml:space="preserve">فإنَّ الحلالَ بيِّنٌ والحرامَ بيِّنٌ،  </w:t>
      </w:r>
      <w:r>
        <w:rPr>
          <w:color w:val="FF0000"/>
          <w:rtl w:val="1"/>
        </w:rPr>
        <w:t xml:space="preserve">وبينَ ذلك أمورٌ مُشتبَهاتٌ،  </w:t>
      </w:r>
      <w:r>
        <w:rPr>
          <w:color w:val="FF0000"/>
          <w:rtl w:val="1"/>
        </w:rPr>
        <w:t xml:space="preserve">فدَعْ ما يَريبُكَ إلى ما لا يَريبُكَ.  </w:t>
      </w:r>
      <w:r>
        <w:rPr>
          <w:color w:val="000000"/>
          <w:rtl w:val="1"/>
        </w:rPr>
        <w:t xml:space="preserve">قال أبو عبد الرحمن: هذا الحديث جيّدٌ جيّد.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الجيد - الحسن</w:t>
      </w:r>
    </w:p>
    <w:p>
      <w:pPr>
        <w:bidi w:val="1"/>
        <w:jc w:val="start"/>
      </w:pPr>
      <w:r>
        <w:rPr>
          <w:rtl w:val="1"/>
        </w:rPr>
        <w:t>الشرح: الدلالة: الحث على الاجتهاد وفضله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قيمة الورع في الفتوى والقضاء - قيم الورع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قيمة مسؤولية السلطة القضائية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الفتوى والقضاء عند قلَّة الأدلة والبيِّنات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قيمة البحث والتنقيب وإعمال العقل - قيم تقدير البحث، والنقد الموضوعي</w:t>
      </w:r>
    </w:p>
    <w:p>
      <w:pPr>
        <w:bidi w:val="1"/>
        <w:jc w:val="start"/>
      </w:pPr>
      <w:r>
        <w:rPr>
          <w:rtl w:val="1"/>
        </w:rPr>
        <w:t>الشرح: الدلالة: قيمة الأولوية في مصادر التشريع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