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التزعفر والخلوق-كتاب الزينة-سنن النسائي — رقم الحديث: 5120 — الرقم الفرعي: 99 — الرقم الأصلي: 5120</w:t>
        <w:br/>
      </w:r>
      <w:r>
        <w:rPr>
          <w:rtl w:val="1"/>
        </w:rPr>
        <w:t xml:space="preserve"> أخبرنا محمد بن منصور قال:حدثنا سفيان عن عمران بن ظبيان عن حكيم بن سعد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جاءَ رجُلٌ إلى النّبيِّ ﷺ، به رَدْعٌ مِن خَلُوقٍ،  </w:t>
      </w:r>
      <w:r>
        <w:rPr>
          <w:color w:val="000000"/>
          <w:rtl w:val="1"/>
        </w:rPr>
        <w:t xml:space="preserve">فقالَ له النّبيُّ ﷺ: «اذْهب فانْهَكْهُ» ثم أَتاه، فقال: «اذْهب فانْهَكْهُ» ثم أَتاه، فقال: «اذْهب فانْهَكْهُ، ثم لا تَعُدْ».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المصبوغ (المعصفر والمزعفر) - ألوان اللباس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