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يسمع النداء والإناء على يده-كتاب الصوم-سنن أبي داود — رقم الحديث: 2350 — الرقم الفرعي: 99 — الرقم الأصلي: 2350</w:t>
        <w:br/>
      </w:r>
      <w:r>
        <w:rPr>
          <w:rtl w:val="1"/>
        </w:rPr>
        <w:t xml:space="preserve"> حدثنا عبد الأعلى بن حمّاد ثنا حماد عن محمد بن عمرو عن أبي سلمة عن أبي هريرة قال:قال رسول الله صلى الله عليه وسلم</w:t>
        <w:br/>
      </w:r>
      <w:r>
        <w:rPr>
          <w:color w:val="FF0000"/>
          <w:rtl w:val="1"/>
        </w:rPr>
        <w:t xml:space="preserve">«إذا سَمِعَ أحَدُكُم النداء والإناءُ على يَدِهِ، فلا يَضَعْهُ حتى يقضِيَ حاجتَه منه».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الإمساك عند طلوع الفجر الصادق -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الشك في طلوع الفجر وغروب الشمس  للصائم - الإمساك عن المفطرات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